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597 vom 17. Juli 2019</w:t>
      </w:r>
    </w:p>
    <w:p>
      <w:r>
        <w:t>VD Tribunal cantonal, 2019-07-17, FR</w:t>
      </w:r>
    </w:p>
    <w:p>
      <w:r>
        <w:rPr>
          <w:b/>
        </w:rPr>
        <w:t xml:space="preserve">Quelle: </w:t>
      </w:r>
      <w:r>
        <w:t>https://mcp.opencaselaw.ch/entscheid/vd_findinfo_D_cision___2019___597</w:t>
      </w:r>
    </w:p>
    <w:p>
      <w:r>
        <w:t>FR: VD_FINDINFO Décision / 2019 / 597 du 17 juillet 2019</w:t>
      </w:r>
    </w:p>
    <w:p>
      <w:r>
        <w:t>IT: VD_FINDINFO Décision / 2019 / 597 del 17 luglio 2019</w:t>
      </w:r>
    </w:p>
    <w:p>
      <w:pPr>
        <w:pStyle w:val="Heading2"/>
      </w:pPr>
      <w:r>
        <w:t>Regeste</w:t>
      </w:r>
    </w:p>
    <w:p>
      <w:r>
        <w:t>DÉTENTION PROVISOIRE, PROLONGATION, SOUPÇON, RISQUE DE RÉCIDIVE, MESURE DE SUBSTITUTION À LA DÉTENTION |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D.________ est recevable.</w:t>
      </w:r>
    </w:p>
    <w:p>
      <w:r>
        <w:rPr>
          <w:b/>
        </w:rPr>
        <w:t>E. 2.1</w:t>
      </w:r>
    </w:p>
    <w:p>
      <w:r>
        <w:t>Le recourant fait d’abord valoir que les soupçons de culpabilité qui pèsent sur lui s’amoindriraient au fil de l’enquête. Ceux-ci n’auraient en effet pour seule preuve que les accusations de la plaignante elle-même, aucun document d’ordre médical, de photographie ou de témoignage permettant de les corroborer n’existant au dossier. L’instruction menée jusqu’à ce jour infirmerait bien plutôt ces accusations.</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[ci-après : CR CPP], Bâle 2011, nn.</w:t>
      </w:r>
    </w:p>
    <w:p>
      <w:r>
        <w:rPr>
          <w:b/>
        </w:rPr>
        <w:t>E. 2.3</w:t>
      </w:r>
    </w:p>
    <w:p>
      <w:r>
        <w:t>En l’espèce, si les soupçons se fondent essentiellement sur les déclarations de la victime, il y a lieu de relever que celles-ci sont crédibles et cohérentes. Elles sont d’ailleurs corroborées, contrairement à ce que soutient le recourant, par le témoignage de Q.________ et par des messages du prévenu lui-même, qui révèlent de nombreux indices de commission d’infractions contre l’intégrité sexuelle et la liberté (P. 19/1, 26/1 et 26/2). Q.________ a déclaré qu’elle avait assisté à des faits de violence verbale et, à une reprise, à de la violence physique commise par le prévenu sur la plaignante (PV aud. 3, R. 5 pp. 3-4 et R. 8). Il n’est dès lors pas déterminant que les constats médicaux du CHUV ne fassent pas mention de lésions significatives, ni que le pharmacien de la gare d’[...] ne se soit pas souvenu que lors du passage de T.________ le 9 septembre 2018 à 17h00, cette dernière lui ait confié des détails qui auraient pu éveiller ses soupçons. Par ailleurs, à l’instar du Tribunal des mesures de contrainte, on ne saurait considérer que le fait pour la plaignante d’avoir repris contact avec le prévenu « la décrédibilis[er]ait dans les accusations qu’elle porte », dans la mesure où ces échanges sont intervenus dans le contexte de l’avortement de T.________, période au cours de laquelle cette dernière a indiqué qu’elle ne se sentait vraiment pas bien et qu’elle avait besoin de parler au principal intéressé, en précisant que cela ne signifiait pas qu’elle acceptait ce que D.________ avait fait (PV aud. 5 lignes 272-281). Enfin, on rappellera que dans son rapport d’investigation du 18 mars 2019, la police a souligné que les nombreux messages extraits des téléphones portables que se sont adressés le prévenu et la plaignante permettaient de se rendre compte de l’emprise qu’avait D.________ sur sa victime, puisqu’il lui parlait de manière rabaissante, la traitant parfois de « pute », lui envoyant des montages obscènes avec sa photographie ou sous-entendant qu’elle était grosse en la traitant de baleine (P. 26, p. 11). Les enquêteurs ont également relevé que le prévenu était « de prime abord sympathique et facile d'accès. Présentant bien et pouvant être d'une politesse impeccable – voire mielleux – il sait se rendre agréable. Il est toutefois frappant de voir le changement d'attitude de l'intéressé lorsque quelque chose lui est refusé. Il devient agressif, impoli, arrogant et même violent, essayant de démontrer qu'il est le patron et qu'il peut faire ce qu'il a envie » (P. 26, p. 13). Au vu de ce qui précède, il existe des soupçons suffisants de commission d’infractions et la première condition de l’art. 221 al. 1 CPP apparaît ainsi réalisée. 3. Le recourant conteste l’existence d’un risque de réitération. 3.1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et les réf. citées ; TF 1B_3/2019 du 17 janvier 2019 consid. 3.1). 3.2 En l’occurrence, l’appréciation faite par le Tribunal des mesures de contrainte ne prête pas le flanc à la critique et les considérations émises par la Cour de céans dans son précédent arrêt du 26 avril 2019 demeurent valables. Si le recourant bénéficie certes d’un casier judiciaire vierge, il n’a toutefois pas cessé d’envoyer des messages à la plaignante, même après l’ouverture de l’enquête et après avoir été averti qu’il devait s’abstenir de contacter cette dernière. Beaucoup de ces messages avaient un caractère menaçant. Le ton extrêmement agressif employé par le prévenu à l’égard de la plaignante a en outre pu être constaté par la police lors de l’audition des messages audio envoyés à T.________ (P. 26, p. 12). C’est donc à tort que le recourant se plaint de ce que la détention provisoire trouverait sa source, davantage que dans les faits qui lui sont reprochés, dans son comportement lors de l’audition de la plaignante du 8 avril 2019, et qu’il s’agirait de lui faire payer, par la privation de liberté, le fait que T.________ n’ait pas su se contenir en le contactant de nouveau. De même, on ne saurait prétendre que l’expertise psychiatrique aurait été mise en œuvre davantage afin de justifier le maintien en détention provisoire que par la situation. La dangerosité de ce prévenu est en effet attestée par l’agressivité dont il a fait preuve envers la plaignante, dont on rappelle qu’il l’a menacée de mort à plusieurs reprises, et la protection de l’intégrité physique de celle-ci doit prévaloir tant qu’on ne dispose pas à tout le moins des premières conclusions de l’expert psychiatre. La prolongation de la détention provisoire fondée sur ce motif est donc justifiée. 4. Le recourant conteste encore l’existence de risques de fuite et de collusion, étant précisé que seul le premier a été retenu par l’autorité intimée. Les conditions posées par l'art. 221 CPP étant alternatives (TF 1B_242/2016 du 21 juillet 2016 consid. 5), l’existence d'un risque de réitération dispense l'autorité de céans d'examiner si le prévenu présente également les autres risques évoqués. 5. 5.1 Le recourant considère enfin que les mesures de substitution qu’il propose seraient de nature à prévenir les risques qui pourraient être retenus contre lui, quand bien même il en conteste l’existence, et propres à sauvegarder les différents intérêts en jeu. Il soutient que dans sa situation, le maintien de la détention provisoire ne serait ni proportionnel, ni nécessaire. 5.2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 TF 1B_165/2012 du 12 avril 2012 consid. 2.3 ; Schmocker, op. cit., n. 2 ad art. 237 CPP). 5.3 Force est de constater dans le cas présent que les mesures de substitution proposées par le recourant, quoi qu’en dise ce dernier, ne sont pas de nature à prévenir efficacement la récidive redoutée. En effet, comme cela a déjà été relevé par la Cour de céans, le recourant, indépendamment du cas du 7 avril 2019 qu’il conteste, a quand même, avec insistance, essayé de prendre contact avec T.________ en février 2019 et, vu son agressivité et le fait qu’il semble ne pas pouvoir se contenir lorsqu’on lui refuse quelque chose, seule la détention provisoire apparaît à même de protéger efficacement l’intégrité corporelle et sexuelle de la plaignante, les interdictions de contact et de périmètre proposées n’étant pas suffisantes à cet égard. 6. Il résulte de ce qui précède que le recours, manifestement mal fondé, doit être rejeté sans échange d’écritures (art. 390 al. 2 CPP) et l’ordonnance querellée confirmée. L’avocat Jeton Kryeziu, qui avait été désigné le 20 mai 2019 comme défenseur d’office du recourant, a requis d’être désigné à nouveau en cette qualité pour la procédure de recours. Cette requête est superflue. En effet, le droit à une défense d’office vaut pour toutes les étapes de la procédure (Harari/Aliberti, in CR CPP, op. cit., n. 1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défenseur d’office déjà désigné par l’autorité inférieure, à la différence de ce que prévoit l’art. 119 al. 5 CPC (Code de procédure civile du 19 décembre 2008 ; RS 272) en matière civile.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593 fr. 20, qui comprennent des honoraires, par 540 fr., des débours forfaitaires à concurrence de 2 % (art. 3bis al. 1 RAJ [Règlement sur l’assistance judiciaire en matière civile du 7 décembre 2010 ; BLV 211.02.3], applicable par renvoi de l’art. 26b TFIP), par 10 fr. 80, et un montant correspondant à la TVA, par 42 fr. 40,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 juillet 2019 est confirmée. III. L’indemnité allouée au défenseur d’office de D.________ est fixée à 593 fr. 20 (cinq cent nonante-trois francs et vingt centimes). IV. Les frais d’arrêt, par 1'430 fr. (mille quatre cent trente francs), ainsi que l’indemnité due au défenseur d’office de D.________, par 593 fr. 20 (cinq cent nonante-trois francs et vingt centimes), sont mis à la charge de ce dernier. V. Le remboursement à l’Etat de l’indemnité allouée au chiffre III ci-dessus ne sera exigible que pour autant que la situation financière de D.________ le permette. VI. L’arrêt est exécutoire. Le vice-président : La greffière : Du Le présent arrêt, dont la rédaction a été approuvée à huis clos, est notifié, par l'envoi d'une copie complète, à : - Me Jeton Kryeziu, avocat (pour D.________), - Ministère public central, et communiqué à : - Mme la Présidente du Tribunal des mesures de contrainte, - Mme la Procureure de l’arrondissement du Nord vaudois, - Me Coralie Devaud, avocate (pour T.________),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7</w:t>
      </w:r>
    </w:p>
    <w:p>
      <w:r>
        <w:t>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 ATF 137 IV 122 consid. 3.2 ; ATF 124 I 208 consid. 3 ; TF 1B_308/2018 du 17 juillet 2018 consid. 2.1 ; Forster, in : Niggli/Heer/Wiprächtiger [éd.], Basler Kommentar, Schweizerische Strafprozess-ordnung, 2 e éd., Bâle 2014, n. 3 ad art. 221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