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577 vom 9. Juli 2019</w:t>
      </w:r>
    </w:p>
    <w:p>
      <w:r>
        <w:t>VD Tribunal cantonal, 2019-07-09, FR</w:t>
      </w:r>
    </w:p>
    <w:p>
      <w:r>
        <w:rPr>
          <w:b/>
        </w:rPr>
        <w:t xml:space="preserve">Quelle: </w:t>
      </w:r>
      <w:r>
        <w:t>https://mcp.opencaselaw.ch/entscheid/vd_findinfo_D_cision___2019___577</w:t>
      </w:r>
    </w:p>
    <w:p>
      <w:r>
        <w:t>FR: VD_FINDINFO Décision / 2019 / 577 du 9 juillet 2019</w:t>
      </w:r>
    </w:p>
    <w:p>
      <w:r>
        <w:t>IT: VD_FINDINFO Décision / 2019 / 577 del 9 luglio 2019</w:t>
      </w:r>
    </w:p>
    <w:p>
      <w:pPr>
        <w:pStyle w:val="Heading2"/>
      </w:pPr>
      <w:r>
        <w:t>Regeste</w:t>
      </w:r>
    </w:p>
    <w:p>
      <w:r>
        <w:t>DÉCISION D'IRRECEVABILITÉ, EXEMPTION DE PEINE, TENTATIVE{DROIT PÉNAL}, CONTRAINTE{DROIT PÉNAL}, DÉNONCIATION CALOMNIEUSE, PLAINTE PÉNALE | 22 ad 181 CP, 303 CP, 52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w:t>
      </w:r>
    </w:p>
    <w:p>
      <w:r>
        <w:rPr>
          <w:b/>
        </w:rPr>
        <w:t>E. 1.2</w:t>
      </w:r>
    </w:p>
    <w:p>
      <w:r>
        <w:t>Interjeté dans le délai légal auprès de l’autorité compétente par la partie plaignante qui a qualité pour recourir (art. 382 al. 1 CPP), le recours est recevable.</w:t>
      </w:r>
    </w:p>
    <w:p>
      <w:r>
        <w:rPr>
          <w:b/>
        </w:rPr>
        <w:t>E. 2</w:t>
      </w:r>
    </w:p>
    <w:p>
      <w:r>
        <w:t>Le recourant invoque une violation des art. 180, 303 CP (Code pénal suisse du 21 décembre 1937; RS 311.0) et 310 CPP. Il estime que les agissements de F.________ sont constitutifs de dénonciation calomnieuse et de tentative de contrainte et que la gravité de son comportement et ses conséquences ne permettent pas l’application de l’art. 52 CP.</w:t>
      </w:r>
    </w:p>
    <w:p>
      <w:r>
        <w:rPr>
          <w:b/>
        </w:rPr>
        <w:t>E. 2.1.1</w:t>
      </w:r>
    </w:p>
    <w:p>
      <w:r>
        <w:t>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Selon la jurisprudence, la contrainte n'est contraire au droit que si elle est illicite (ATF 120 IV 17 consid. 2a et les arrêts cités;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JdT 2012 IV 279; ATF 120 IV 17 consid. 2a/bb; TF 6B_415/2018 du 20 septembre 2018 consid. 2.1.3). Ainsi, menacer d'une plainte pénale pour une infraction que rien ne permet sérieusement de soupçonner est un moyen en soi inadmissible (ATF 120 IV 17 consid. 2a/bb; TF 6B_415/2018 du 20 septembre 2018 consid. 2.1.3).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w:t>
      </w:r>
    </w:p>
    <w:p>
      <w:r>
        <w:rPr>
          <w:b/>
        </w:rPr>
        <w:t>E. 2.1.3</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w:t>
      </w:r>
    </w:p>
    <w:p>
      <w:r>
        <w:rPr>
          <w:b/>
        </w:rPr>
        <w:t>E. 2.1.4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(TF 6B_362/2017 du 2 février 2018 consid. 3.1; TF 6B_593/2016 du 27 avril 2016 consid. 3).</w:t>
      </w:r>
    </w:p>
    <w:p>
      <w:r>
        <w:rPr>
          <w:b/>
        </w:rPr>
        <w:t>E. 2.2.1</w:t>
      </w:r>
    </w:p>
    <w:p>
      <w:r>
        <w:t>En l’espèce, s’agissant de l’infraction de tentative de contrainte, il est constant que F.________ a déposé plainte contre le recourant pour menaces de mort, trafic de passeports suisses et blanchiment d’argent auprès du Ministère public de la Confédération. Dans le même acte, il a demandé le retrait de la plainte déposée précédemment contre lui et ses fils par Z.________. Dans ces circonstances, et dans la mesure où le Procureur qualifie cette plainte de fantaisiste, on ne saurait exclure que, par le dépôt de sa plainte, F.________ ait voulu forcer le recourant à retirer sa plainte et donc l’entraver dans sa liberté d’action. Par ailleurs, le moyen de pression paraît illicite, dans la mesure où il ne semble y avoir aucun lien de connexité entre les faits faisant l’objet des plaintes croisées des parties et où la plainte s’apparente dès lors à un moyen de pression abusif. Il s’ensuit que l’infraction de contrainte ne peut d’emblée être exclue. En outre, le fait que le recourant n’ait eu connaissance de la pression que voulait exercer F.________ sur lui qu’au moment où il a reçu l’ordonnance de non-entrée en matière du Ministère public de la Confédération ne permet pas d’exclure la réalisation de cette infraction au stade de la tentative. Le recours doit dès lors être admis sur ce point.</w:t>
      </w:r>
    </w:p>
    <w:p>
      <w:r>
        <w:rPr>
          <w:b/>
        </w:rPr>
        <w:t>E. 2.2.2</w:t>
      </w:r>
    </w:p>
    <w:p>
      <w:r>
        <w:t>En ce qui concerne la dénonciation calomnieuse, il paraît évident que l’élément constitutif objectif de l’infraction est réalisé. Quant au fait de savoir si F.________ savait que Z.________ était innocent et si son but était bien de faire ouvrir contre ce dernier une poursuite pénale, une instruction est nécessaire. Le Procureur n’a pas exclu la réalisation de cette infraction, mais a renoncé à poursuivre F.________ en application de l’art. 52 CP. Cela étant, cette disposition suppose que l’infraction considérée fasse apparaître que l’acte en cause et la culpabilité de l’auteur, mesurés à un cas de figure normal, soient nettement moins graves. Cette différence doit être tellement nette qu’infliger une sanction pénale paraîtrait injustifié tant du point de vue de la prévention générale que de celui de la prévention spéciale (Dupuis et alii , Petit commentaire CP, 2 e éd., Bâle 2017, n. 3 ad art. 52 CP). Or, en l’espèce, on ne saurait considérer que l’acte en cause et la culpabilité de l’auteur seraient nettement moins graves que la normale – et l’autorité intimée n’a pas motivé son ordonnance sur ce point –, les infractions dénoncées étant par ailleurs relativement graves. Le recours doit donc être admis sur ce point également.</w:t>
      </w:r>
    </w:p>
    <w:p>
      <w:r>
        <w:rPr>
          <w:b/>
        </w:rPr>
        <w:t>E. 3</w:t>
      </w:r>
    </w:p>
    <w:p>
      <w:r>
        <w:t>Au vu de ce qui précède, le recours doit être admis et l’ordonnance du 24 mai 2019 annulée, le dossier de la cause étant renvoyé au Ministère public de l’arrondissement de Lausanne pour qu’il ouvre une instruction pénale contre F.________. Le recourant, qui a procédé avec l’assistance d’un avocat de choix et qui a obtenu gain de cause, a droit à une indemnité pour ses dépenses obligatoires occasionnées par la procédure de recours (art. 433 al. 1 let. a CPP, applicable par renvoi de l’art. 436 al. 1 CPP), à la charge de l’Etat. L’activité alléguée, par 4.42 heures, est quelque peu excessive. Compte tenu de la complexité de la  cause, il convient de retenir une activité raisonnable de trois heures d’avocat au tarif horaire de 300 fr. (art. 26a al. 3 TFIP [Tarif des frais de procédure et indemnités en matière pénale du 28 septembre 2010; BLV 312.03.1]), honoraires auxquels il y a lieu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Les frais de la procédure de recours, constitués en l’espèce de l’émolument d'arrêt, par 880 fr. (art. 20 al. 1 TFIP ), seront mis à la charge de l’Etat,  en l’absence de partie succombante. Par ces motifs, la Chambre des recours pénale prononce : I. Le recours est admis. II. L’ordonnance du 24 mai 2019 est annulée. III. Le dossier de la cause est renvoyé au Ministère public de l’arrondissement de Lausanne pour qu’il procède dans le sens des considérants. IV. Une indemnité de 988 fr. 70 (neuf cent huitante-huit francs et septante centimes) est allouée à Z.________ pour ses dépenses obligatoires occasionnées par la procédure de recours, à la charge de l’Etat. V. Les frais d’arrêt, par 880 fr. (huit cent huitante francs), sont laissés à la charge de l’Etat. VI. L’arrêt est exécutoire. Le président :               Le greffier : Du Le présent arrêt, dont la rédaction a été approuvée à huis clos, est notifié, par l'envoi d'une copie complète, à : - Me Aurore Estoppey, avocate (pour Z.________), - Ministère public,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