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572 vom 30. August 2019</w:t>
      </w:r>
    </w:p>
    <w:p>
      <w:r>
        <w:t>VD Tribunal cantonal, 2019-08-30, FR</w:t>
      </w:r>
    </w:p>
    <w:p>
      <w:r>
        <w:rPr>
          <w:b/>
        </w:rPr>
        <w:t xml:space="preserve">Quelle: </w:t>
      </w:r>
      <w:r>
        <w:t>https://mcp.opencaselaw.ch/entscheid/vd_findinfo_D_cision___2019___572</w:t>
      </w:r>
    </w:p>
    <w:p>
      <w:r>
        <w:t>FR: VD_FINDINFO Décision / 2019 / 572 du 30 août 2019</w:t>
      </w:r>
    </w:p>
    <w:p>
      <w:r>
        <w:t>IT: VD_FINDINFO Décision / 2019 / 572 del 30 agosto 2019</w:t>
      </w:r>
    </w:p>
    <w:p>
      <w:pPr>
        <w:pStyle w:val="Heading2"/>
      </w:pPr>
      <w:r>
        <w:t>Regeste</w:t>
      </w:r>
    </w:p>
    <w:p>
      <w:r>
        <w:t>CONTRAINTE{DROIT PÉNAL}, COMMANDEMENT DE PAYER, INJURE, DIFFAMATION, TENTATIVE{DROIT PÉNAL} | 173 CP, 177 CP, 181 CP, 22 ad 181 CP</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auprès de l’autorité compétente par la partie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consid. 2.1;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(ATF 137 IV 285 consid. 2.3 p. 287).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soutient que les éléments constitutifs de l’infraction de contrainte, subsidiairement de tentative de contrainte sont réunis.</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(TF 6B_415/2018 du 20 septembre 2018 consid. 2.1.2 ; ATF 101 IV 42 consid. 3a), la menace est un moyen de pression psychologique consistant à annoncer un dommage futur dont la réalisation est présentée comme dépendante de la volonté de l'auteur, sans toutefois qu'il soit nécessaire que cette dépendance soit effective (TF 6B_415/2018 du 20 septembre 2018 consid. 2.1.2 ; ATF 117 IV 445 consid. 2b ; ATF 106 IV 125 consid. 2a) ni que l'auteur ait réellement la volonté de réaliser sa menace (TF 6B_415/2018 du 20 septembre 2018 consid. 2.1.2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(TF 6B_415/2018 du 20 septembre 2018 consid. 2.1.2 ;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6B_153/2017 du 28 novembre 2017 consid. 3.1 ; ATF 141 IV 437 consid. 3.2.1 ; ATF 137 IV 326 consid. 3.3.1). Selon la jurisprudence, la contrainte n'est contraire au droit que si elle est illicite (ATF 120 IV 17 consid. 2a et les arrêts cités ; TF 6B_415/2018 du 20 septembre 2018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 ATF 137 IV 326 consid. 3.3.1 ; ATF 120 IV 17 consid. 2a/bb ; TF 6B_415/2018 du 20 septembre 2018 consid. 2.1.3). Ainsi, menacer d'une plainte pénale pour une infraction que rien ne permet sérieusement de soupçonner est un moyen en soi inadmissible (ATF 120 IV 17 consid. 2a/bb ; TF 6B_415/2018 du 20 septembre 2018 consid. 2.1.3).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6B_415/2018 du 20 septembre 2018 consid. 2.1.3 et les arrêts cités). Pour une personne de sensibilité moyenne, faire par exemple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(TF 6B_153/2017 du 28 novembre 2017 consid. 3.1 et les arrêts cités). Sur le plan subjectif, il faut que l'auteur ait agi intentionnellement, c'est-à-dire qu'il ait voulu contraindre la victime à adopter le comportement visé en étant conscient de l'illicéité de son comportement ; le dol éventuel suffit (ATF 120 IV 17 consid. 2c ; TF 6B_415/2018 du 20 septembre 2018 consid. 2.1.3).</w:t>
      </w:r>
    </w:p>
    <w:p>
      <w:r>
        <w:rPr>
          <w:b/>
        </w:rPr>
        <w:t>E. 3.3</w:t>
      </w:r>
    </w:p>
    <w:p>
      <w:r>
        <w:t>En l’occurrence, avec le Procureur, il faut admettre que dans le contexte où une partie réclame à une autre de l’argent dans un cadre professionnel, il n’est pas abusif pour le créancier putatif d’adresser à la partie adverse un commandement de payer, la créance n’étant pas manifestement inexistante. De plus, V.________ ne se plaint que près de trois ans après avoir reçu le commandement de payer de 13'608 francs. On ne saurait ainsi considérer que la notification du commandement de payer litigieux, dont le montant est certes élevé mais pas extravagant, était propre à l’impressionner au point de l’entraver dans sa liberté de décision ou d’action. Enfin, sur le plan subjectif, C.________ paraît avoir été de bonne foi, puisqu’il a engagé par la suite une procédure civile pour faire reconnaître sa créance. Les éléments constitutifs de l’infraction de contrainte n’étant pas réalisés, celle-ci ne peut pas non plus être envisagée sous forme de tentative (art. 22 CP). Par conséquent, le refus du Procureur d’entrer en matière sur la plainte pénale du recourant ne prête pas le flanc à la critique.</w:t>
      </w:r>
    </w:p>
    <w:p>
      <w:r>
        <w:rPr>
          <w:b/>
        </w:rPr>
        <w:t>E. 4.1</w:t>
      </w:r>
    </w:p>
    <w:p>
      <w:r>
        <w:t>Le recourant invoque également la commission des infractions des art. 173, subsidiairement 177 CP.</w:t>
      </w:r>
    </w:p>
    <w:p>
      <w:r>
        <w:rPr>
          <w:b/>
        </w:rPr>
        <w:t>E. 4.2.1</w:t>
      </w:r>
    </w:p>
    <w:p>
      <w:r>
        <w:t>Selon l'art. 173 ch. 1 CP (Code pénal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L’art. 173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Pour qu'il y ait diffamation, il faut que l'auteur s'adresse à un tiers. Est en principe considérée comme tiers toute personne autre que l'auteur et l'objet des propos qui portent atteinte à l'honneur (ATF 86 IV 209).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 e éd., Lausanne 2007, n. 1.14 ad art. 173 CP). Ainsi, les parties à un procès ou l’avocat qui se limitent à ce qui est nécessaire et pertinent, sans recourir à des formules inutilement blessantes, ne tombent pas sous le coup de l’art. 173 CP, l’acte étant licite selon l’art. 14 CP (ATF 131 IV 154, JdT 2007 IV 3; ATF 118 IV 248 consid. 2c; ATF 116 IV 211, JdT 1992 IV 83; ATF 107 IV 34 consid. 4a; Dupuis et alii ., Petit Commentaire du Code pénal, 2 e éd. 2017, n. 52 ad art. 173 CP; Favre/Pellet/Stoudmann, op. cit., n. 1.11 ad art. 14 CP; de Werra, L’avocat et la diffamation [Der Anwalt und die üble Nachrede, traduit de l’allemand], in : L’avocat suisse, n° 70, décembre 1980, p. 14). Tant la partie que son avocat peuvent se prévaloir de l’art. 14 CP à condition de s’être exprimés de bonne foi, de s’être limités à ce qui est nécessaire et pertinent et d’avoir présenté comme telles de simples suppositions (ATF 131 IV 154 consid. 1.2.3). Dans un tel contexte, une atteinte à l’honneur ne doit être admise que restrictivement, surtout si les propos litigieux ne s’adressent qu’aux membres d’une autorité judiciaire, qui sont à même de faire la part des choses (Favre/Pellet/Stoudmann, op. cit., n. 1.14 ad art. 173 CP). Les propos incriminés dans le cadre de l’art. 173 CP doivent avoir été adressés à un tiers, lequel peut être un avocat, un magistrat ou un fonctionnaire (TF 6B_974/2018 du 20 décembre 2018 consid. 2.3.1 ; Dupuis et al., op. cit., n. 18 ad art. 173 CP). La diffamation est une infraction intentionnelle (Corboz, Les infractions en droit suisse, 3 e éd., vol. I, Berne 2010, n. 48 ad art. 173 CP).</w:t>
      </w:r>
    </w:p>
    <w:p>
      <w:r>
        <w:rPr>
          <w:b/>
        </w:rPr>
        <w:t>E. 4.2.2</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La doctrine considère généralement que l'injure est subsidiaire à la diffamation, respectivement à la calomnie (Dupuis et alii , op. cit., n. 54 ad art. 173 CP et les références citées). Certains auteurs réservent toutefois la possibilité d'un concours parfait lorsque l'auteur s'adresse à la fois à la personne visée et à des tiers (Dupuis et alii , op. cit., n. 54 ad art. 174 CP; Corboz, op. cit., n. 123 ad art. 173 CP). Cela étant, la diffamation ou la calomnie supposent une allégation de fait, tandis qu'un jugement de valeur, adressé à des tiers ou à la victime, peut constituer une injure au sens de l'art. 177 CP (ATF 128 IV 53 consid. 1f/aa). Pour distinguer l'allégation de fait du jugement de valeur, il faut se demander, en fonction des circonstances, si les termes litigieux ont un rapport reconnaissable avec un fait ou sont employés pour exprimer le mépris (ibidem ). La notion de jugement de valeur doit être comprise dans un sens large; il s'agit d'une manifestation directe de mésestime ou de mépris, au moyen de mots blessants, de gestes ou de voies de fait ( ibidem ). Simple appréciation, le jugement de valeur n'est pas susceptible de faire l'objet d'une preuve quant à son caractère vrai ou faux (TF 6B_498/2012 du 14 février 2013 consid. 5.3.1). Les éléments énoncés dans le cadre de la diffamation concernant les faits justificatifs sont aussi valables pour l’injure (Dupuis et alii, op. cit., n. 21 ad art. 177 CP). Bien que le texte légal ne l’énonce pas, en cas d’injure par allégation de fait, l’art. 173 ch. 2 et 3 CP concernant la preuve libératoire est applicable par analogie. Lorsqu’il s’agit d’une injure formelle, en l’absence de tout fait, la preuve libératoire est exclue (Dupuis et alii, op. cit., n. 22 ad art. 177 CP)</w:t>
      </w:r>
    </w:p>
    <w:p>
      <w:r>
        <w:rPr>
          <w:b/>
        </w:rPr>
        <w:t>E. 4.3.1</w:t>
      </w:r>
    </w:p>
    <w:p>
      <w:r>
        <w:t>Le caractère intrinsèquement attentatoire à l'honneur du terme "escroc" n'est pas discutable (cf. TF 6B_870/2014 du 1er octobre 2015 consid. 1.1). Le terme « escroc » employé par C.________ envers V.________ lors de l’audience de conciliation du 21 février 2019 devant le Président du Tribunal d’arrondissement de l’Est vaudois est en rapport avec les faits dès lors que le premier se plaint que le second refuse de s’acquitter d’une créance de 13'608 fr. qu’il lui devrait. Il s’agit par conséquent d’une allégation de fait qui pourrait constituer aussi bien une diffamation qu’une injure.</w:t>
      </w:r>
    </w:p>
    <w:p>
      <w:r>
        <w:rPr>
          <w:b/>
        </w:rPr>
        <w:t>E. 4.3.2</w:t>
      </w:r>
    </w:p>
    <w:p>
      <w:r>
        <w:t>Le Procureur a considéré que le terme « escroc » avait été porté à la seule connaissance des membres du Tribunal et des parties à la procédure, soit un nombre restreint de personnes, qui étaient toutes parfaitement conscientes des circonstances dans lesquelles il avait été énoncé. Il en a déduit que l’existence d’une atteinte à l’honneur ne pouvait ainsi être admise qu’avec beaucoup de retenue, cette retenue devant s’appliquer d’autant plus qu’il s’agissait d’une audience de conciliation, au cours de laquelle un climat de relative libre discussion devait être admis, dans le but de faire en sorte que les griefs des uns et des autres puissent être exposés en toute franchise et, le cas échéant, résolus. Il a enfin considéré que de toute manière C.________ était de bonne foi dans la mesure où le litige entre les parties remontait à 2013 et qu’il avait engagé une procédure civile pour obtenir le paiement qu’il estimait dû, ce qui démontrait qu’il était réellement d’avis que V.________ avait adopté un comportement abusif à son égard en ne lui payant pas la somme réclamée. Le recourant n’est pas de cet avis. Il expose tout d’abord que les personnes ayant participé à l’audience de conciliation seraient des tiers. Ensuite il indique que C.________ ne serait pas de bonne foi en raison du fait qu’aucune créance ne serait due. En premier lieu, il faut admettre avec le recourant que le terme « escroc » a été porté à la connaissance des membres du tribunal et des participants à la procédure. On peut ainsi lui donner acte que les propos tenus par C.________ ont été adressés à des tiers. Cependant, dans la mesure où le litige entre les parties remonte à 2013, que le terme litigieux a été prononcé lors d’une audience de conciliation, que C.________ a introduit des poursuites à l’encontre de V.________, puis engagé depuis lors une procédure civile pour obtenir le paiement de ce qu’il estimait dû, il y a lieu de considérer qu’au moment où le mot « escroc » a été prononcé, C.________ était convaincu que V.________ avait adopté un comportement abusif à son égard en ne lui payant pas la somme réclamée (art. 173 ch. 2 CP). Il convient ainsi d’admettre la preuve libératoire de la bonne foi et de confirmer l’ordonnance entreprise s’agissant de l’infraction de diffamation. Il en va de même s’agissant de l’infraction d’injure dont se plaint le recourant, puisqu’il est admis que le terme « escroc » tel qu’utilisé dans la présente procédure est une  allégation de fait, ce qui permet d’appliquer également la preuve libératoire de la bonne foi, par analogie (cf. consid. 4.2.2 in fine supra ).</w:t>
      </w:r>
    </w:p>
    <w:p>
      <w:r>
        <w:rPr>
          <w:b/>
        </w:rPr>
        <w:t>E. 5</w:t>
      </w:r>
    </w:p>
    <w:p>
      <w:r>
        <w:t>En définitive, mal fondé, le recours doit être rejeté sans échange d’écritures et l’ordonnance de non-entrée en matière doit être confirmée. Les frais de la procédure de recours,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18 juin 2019 est confirmée. III. Les frais de la procédure de recours, par 1'100 fr. (mille cent francs), sont mis à la charge de V.________. IV. L’arrêt est exécutoire. Le vice-président : La greffière : Du Le présent arrêt, dont la rédaction a été approuvée à huis clos, est notifié, par l'envoi d'une copie complète, à : - Me Rachel Cavargna-Deblüe, avocate (pour 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