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570 vom 9. Juli 2019</w:t>
      </w:r>
    </w:p>
    <w:p>
      <w:r>
        <w:t>VD Tribunal cantonal, 2019-07-09, FR</w:t>
      </w:r>
    </w:p>
    <w:p>
      <w:r>
        <w:rPr>
          <w:b/>
        </w:rPr>
        <w:t xml:space="preserve">Quelle: </w:t>
      </w:r>
      <w:r>
        <w:t>https://mcp.opencaselaw.ch/entscheid/vd_findinfo_D_cision___2019___570</w:t>
      </w:r>
    </w:p>
    <w:p>
      <w:r>
        <w:t>FR: VD_FINDINFO Décision / 2019 / 570 du 9 juillet 2019</w:t>
      </w:r>
    </w:p>
    <w:p>
      <w:r>
        <w:t>IT: VD_FINDINFO Décision / 2019 / 570 del 9 luglio 2019</w:t>
      </w:r>
    </w:p>
    <w:p>
      <w:pPr>
        <w:pStyle w:val="Heading2"/>
      </w:pPr>
      <w:r>
        <w:t>Regeste</w:t>
      </w:r>
    </w:p>
    <w:p>
      <w:r>
        <w:t>DÉTENTION PROVISOIRE, RISQUE DE RÉCIDIVE | 221 al. 1 let. c CPP (CH), 221 al. 2 CPP (CH), 228 CPP (CH)</w:t>
      </w:r>
    </w:p>
    <w:p>
      <w:pPr>
        <w:pStyle w:val="Heading2"/>
      </w:pPr>
      <w:r>
        <w:t>Erwägungen</w:t>
      </w:r>
    </w:p>
    <w:p>
      <w:r>
        <w:rPr>
          <w:b/>
        </w:rPr>
        <w:t>E. 1</w:t>
      </w:r>
    </w:p>
    <w:p>
      <w:r>
        <w:t>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2.2</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2.3</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JdT 2017 IV 262; TF 1B_237/2018 du 6 juin 2018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143 IV 9 consid. 2.3.1, JdT 2017 IV 262; ATF 137 IV 13 consid. 3 et 4). Le risque de récidive peut également se fonder sur les infractions faisant l'objet de la procédure pénale en cours, si le prévenu est fortement soupçonné – avec une probabilité confinant à la certitude – de les avoir commises (ATF 143 IV 9, JdT 2017 IV 262; ATF 137 IV 84 consid. 3.2 et les réf. citées, JdT 2011 IV 325).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(ATF 143 IV 9 consid. 2.6 et 2.7 et les réf. citées, JdT 2017 IV 262).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2.8 et les références citées, JdT 2017 IV 262). En général, la mise en danger de la sécurité d'autrui est d'autant plus grande que les actes redoutés sont graves. En revanche, le rapport entre gravité et rigueur des conditions pour admettre le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 et en principe également suffisant – pour admettre l'existence d'un tel risque (ATF 143 IV 9 consid. 2.9 à 2.10, JdT 2017 IV 262).</w:t>
      </w:r>
    </w:p>
    <w:p>
      <w:r>
        <w:rPr>
          <w:b/>
        </w:rPr>
        <w:t>E. 3.1</w:t>
      </w:r>
    </w:p>
    <w:p>
      <w:r>
        <w:t>S’agissant des soupçons sérieux qui pèsent sur Y.________, le Tribunal des mesures de contrainte s’est référé intégralement à ses précédentes ordonnances, ainsi qu’aux arrêts de la Cour de céans des 28 février et 29 mai 2019. Un tel parti est licite à défaut, comme c’est le cas ici, de circonstances de nature à justifier une nouvelle appréciation de la situation (TF 1B_149/2010 du 1 er juin 2010 et les réf. cit.; CREP 23 août 2018/645 consid. 3.3; CREP 17 mai 2016/320 consid. 2.2.3). En effet aucun élément nouveau ne vient remettre en question les considérations développées dans les précédentes décisions. Dans sa demande de mise en liberté, le prévenu a d’ailleurs encore admis avoir proféré des menaces. Quoi qu’il en soit, le recourant ne conteste pas, à juste titre, l’existence de forts soupçons à son encontre, se contentant de qualifier lesdites menaces de « bidons ».</w:t>
      </w:r>
    </w:p>
    <w:p>
      <w:r>
        <w:rPr>
          <w:b/>
        </w:rPr>
        <w:t>E. 3.2</w:t>
      </w:r>
    </w:p>
    <w:p>
      <w:r>
        <w:t>Le Tribunal des mesures de contrainte a retenu les risques de réitération et de passage à l’acte, considérant qu’aucun élément ne venait contredire ou modifier l’appréciation faite jusqu’ici, de sorte que ces deux risques demeuraient concrets. La Cour de céans ne peut que suivre cette appréciation. En effet, le parcours judiciaire du recourant démontre qu’il est un homme violent et qu’il fait totalement fi des décisions de justice. En outre, l’intéressé persiste à démontrer son obsession à l’égard de son épouse qu’il considère comme à l’origine de tous ses maux. Dans son recours, Y.________ se borne d’ailleurs à critiquer son épouse, tout en déclarant vouloir sauver sa fille, mais ne soulève aucun moyen à l’encontre de l’ordonnance attaquée. Enfin, le risque de récidive de délits graves, respectivement de passage à l’acte, compromettant sérieusement la sécurité d’autrui apparaît d’autant plus concret que le rapport d'expertise psychiatrique établi le 19 mars 2019 (P. 90) confirme les diagnostics retenus en 2016 – à savoir principalement un trouble de la personnalité paranoïaque avec traits impulsifs et dyssociaux, ainsi qu’un épisode dépressif de degré moyen, un syndrome de dépendance au cannabis avec utilisation continue et une utilisation d'alcool nocive pour la santé – et précise que le trouble de la personnalité du prévenu, qui est déterminant pour le risque de récidive, est trop envahissant pour permettre à l'heure actuelle d'espérer une évolution liée à un traitement, qu'il soit ambulatoire ou institutionnel. Les conditions de la détention provisoire sont ainsi réalisées.</w:t>
      </w:r>
    </w:p>
    <w:p>
      <w:r>
        <w:rPr>
          <w:b/>
        </w:rPr>
        <w:t>E. 3.3</w:t>
      </w:r>
    </w:p>
    <w:p>
      <w:r>
        <w:t>Au vu du dossier, notamment de l'expertise psychiatrique, aucune mesure de substitution n’apparaît propre à prévenir concrètement les risques constatés. En outre, eu égard à la peine encourue par le recourant au vu de la gravité des faits qui lui sont reprochés et de ses antécédents, la durée totale de la détention provisoire respecte le principe de la proportionnalité, étant précisé que le délai de prochaine clôture est échu depuis le 11 juin 2019, que l’acte d’accusation va être rédigé et que le prévenu sera prochainement renvoyé en jugement.</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du seul émolument d'arrêt, par 880 fr. (art. 20 al. 1 TFIP [tarif des frais de procédure et indemnités en matière pénale du 28 septembre 2010; BLV 312.03.1]), seront mis à la charge du recourant, qui succombe (art. 428 al. 1 CPP). Par ces motifs, la Chambre des recours pénale prononce : I. Le recours est rejeté. II. L’ordonnance du 27 juin 2019 est confirmée. III. Les frais d’arrêt, par 880 fr. (huit cent huitante francs), sont mis à la charge du recourant. IV. L’arrêt est exécutoire. Le président :               La greffière : Du Le présent arrêt, dont la rédaction a été approuvée à huis clos, est notifié, par l'envoi d'une copie complète, à : - M. Y.________, - Me Manuela Ryter Godel, avocate (pour information), - Ministère public central, et communiqué à : - Mme la présidente du Tribunal des mesures de contrainte, - M. le procureur de l’arrondissement du Nord vaudois, - Prison de la Croisée, - Mme [...], - M. [...], - Me Matthieu Genillod, avocat (pour [...]),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