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568 vom 29. Mai 2019</w:t>
      </w:r>
    </w:p>
    <w:p>
      <w:r>
        <w:t>VD Tribunal cantonal, 2019-05-29, FR</w:t>
      </w:r>
    </w:p>
    <w:p>
      <w:r>
        <w:rPr>
          <w:b/>
        </w:rPr>
        <w:t xml:space="preserve">Quelle: </w:t>
      </w:r>
      <w:r>
        <w:t>https://mcp.opencaselaw.ch/entscheid/vd_findinfo_D_cision___2019___568</w:t>
      </w:r>
    </w:p>
    <w:p>
      <w:r>
        <w:t>FR: VD_FINDINFO Décision / 2019 / 568 du 29 mai 2019</w:t>
      </w:r>
    </w:p>
    <w:p>
      <w:r>
        <w:t>IT: VD_FINDINFO Décision / 2019 / 568 del 29 maggio 2019</w:t>
      </w:r>
    </w:p>
    <w:p>
      <w:pPr>
        <w:pStyle w:val="Heading2"/>
      </w:pPr>
      <w:r>
        <w:t>Regeste</w:t>
      </w:r>
    </w:p>
    <w:p>
      <w:r>
        <w:t>ADMINISTRATION DES PREUVES, PREUVE ILLICITE, ADMISSION DE LA DEMANDE, ACCIDENT DE LA CIRCULATION, AUDITION OU INTERROGATOIRE | 130 CPP (CH), 158 CPP (CH)</w:t>
      </w:r>
    </w:p>
    <w:p>
      <w:pPr>
        <w:pStyle w:val="Heading2"/>
      </w:pPr>
      <w:r>
        <w:t>Erwägungen</w:t>
      </w:r>
    </w:p>
    <w:p>
      <w:r>
        <w:rPr>
          <w:b/>
        </w:rPr>
        <w:t>E. 1</w:t>
      </w:r>
    </w:p>
    <w:p>
      <w:r>
        <w:t>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Le recourant se plaint d’une violation des art. 130, 131 et 158 al. 1 CPP. Il soutient que sa position de partie a radicalement changé lors de son audition du 7 septembre 2018, alors qu’il était entendu en qualité de PADR, lorsqu’il avait indiqué à la police qu’il était le conducteur de la voiture. Il estime que dès cet instant les policiers auraient dû lui signifier ses nouveaux droits en qualité de prévenu, et qu’il aurait dû être informé de la possibilité de se faire assister d’un avocat. V.________ met encore en avant le rapport de police du 13 octobre 2018, qui indique que lors de son audition, il avait laissé paraître ses douleurs par des gémissements intermittents, qu’il n’avait toutefois pas manifesté une volonté d’interrompre cette audition et que ses propos étaient cohérents malgré son état somnolent. Il se prévaut également des déclarations du Dr [...], selon lesquelles il était encore en état de choc et présentait une amnésie circonstancielle de la période ayant précédé et suivi l’accident, ce médecin ayant précisé de surcroît qu’il lui était difficile de déterminer si ce patient était à même de saisir les enjeux auxquels il était confronté dans le cadre de la procédure pénale.</w:t>
      </w:r>
    </w:p>
    <w:p>
      <w:r>
        <w:rPr>
          <w:b/>
        </w:rPr>
        <w:t>E. 2.2.1</w:t>
      </w:r>
    </w:p>
    <w:p>
      <w:r>
        <w:t>Le droit à une procédure pénale équitable (art. 6 par. 1 CEDH [Convention de sauvegarde des droits de l’homme et des libertés fondamentales du 4 novembre 1950 ; RS 0.101], art. 31 al. 2 et 32 al. 2 Cst. [Constitution fédérale de la Confédération suisse du 18 avril 1999 ; RS 101]) peut imposer la nomination d'un défenseur d'office. Les autorités pénales sont ainsi amenées à examiner d'office si un cas de défense obligatoire entre en considération, au regard du droit à un procès équitable, ainsi que des devoirs d'information et d'assistance leur incombant (ATF 143 I 164 consid. 2.3, RDAF 2018 I 310 ; ATF 141 I 350 consid. 4.1 et 4.2). Selon l’art. 158 al. 1 CPP, le prévenu doit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en relation avec l’art. 141 CPP, et le procès-verbal concerné devra être retranché du dossier (Ruckstuhl, in : Niggli/Heer/ Wiprächtiger [éd.], Basler Kommentar, Schweizerische Strafprozessordnung, 2 e éd., Bâle 2014, nn. 33 ss ad art. 158 CPP ; Verniory, in : Kuhn/Jeanneret [éd.], Commentaire romand, Code de procédure pénale, Bâle 2011, nn. 26-28 ad art. 158 CPP ; Schmid/Jositsch, Praxiskommentar, Schweizerische Strafprozessordnung, 3 e éd., Zurich/St-Gall 2018 [Praxiskommentar], nn. 16-18 ad art. 158 CPP ; Moreillon/Parein-Reymond, Petit commentaire, Code de procédure pénale, 2 e éd., Bâle 2016, nn. 18-19 ad art. 158 CPP). S’agissant du statut de personnes appelées à donner des renseignements, au sens de l'art. 178 let. b à g CPP, l’art. 180 al. 1 CPP prévoit que celles-ci ne sont pas tenues de déposer, les dispositions concernant l'audition de prévenus leur étant au surplus applicables par analogie. Au début de l'audition, les autorités pénales attirent l'attention des personnes appelées à donner des renseignements sur leur obligation de déposer ou sur leur droit de refuser de déposer ou de témoigner (art. 181 al. 1 CPP). Pour les personnes appelées à donner des renseignements qui ont l'obligation de déposer ou qui s'y déclarent prêtes, les autorités pénales attirent leur attention sur les conséquences pénales possibles d'une accusation calomnieuse, de déclarations visant à induire la justice en erreur ou d'une entrave à l'action pénale (art. 181 al. 2 CPP). Lorsque la position de partie évolue en cours de procédure, à l’image du comparant entendu initialement comme personne appelée à donner des renseignements, puis ultérieurement comme prévenu, l’exploitabilité des déclarations dépend de la catégorie de personne appelée à donner des renseignements au sens de l’art. 178 CPP. Sont en tous les cas inexploitables les déclarations du « quasi prévenu » au sens de l’art. 178 let. d CPP – soit la personne qui, sans être elle-même prévenue, pourrait s'avérer être soit l'auteur des faits à élucider ou d'une infraction connexe soit un participant à ces actes –, si les droits du prévenu découlant de l’art. 158 CPP ne lui ont pas été communiqués (cf. Schmid/Jositsch, Handbuch des schweizerischen Strafprozessrecht, 3 e éd., Zurich 2017 [Handbuch], nn. 927 s.). D’après la doctrine, en cas d’infractions graves, si les soupçons sont suffisants déjà avant la première audition par le Ministère public, l’instruction doit être ouverte immédiatement et la défense garantie avant la première audition par le Ministère public, qu’il s’agisse d’une défense privée ou d’office (Moreillon/Parein-Reymond, op. cit., n. 7 ad art. 131 CPP et les auteurs cités).</w:t>
      </w:r>
    </w:p>
    <w:p>
      <w:r>
        <w:rPr>
          <w:b/>
        </w:rPr>
        <w:t>E. 2.2.2</w:t>
      </w:r>
    </w:p>
    <w:p>
      <w:r>
        <w:t>Selon l’art. 130 let. b CPP, il existe un cas de défense obligatoire si le prévenu encourt une peine privative de liberté de plus d’un an. Le Tribunal fédéral estime que la peine déterminante pour retenir une défense obligatoire n’est pas la peine abstraite de l’infraction, mais la peine concrète que risque de purger le prévenu (ATF 143 I 164 consid. 2.4.3, RDAF 2018 I 310). L’art. 130 let. c CPP impose la désignation d’un avocat quand le prévenu, en raison de son état physique ou psychique ou pour d’autres motifs, ne peut pas suffisamment défendre ses intérêts dans la procédure pénale.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qu’exceptionnellement, soit en particulier lorsque le prévenu se trouve dans l'incapacité de suivre la procédure, de comprendre les accusations portées à son encontre et/ou de prendre raisonnablement position à cet égard (TF 1B_285/2016 du 1 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et la référence citée). La cause des incapacités personnelles peut consister dans des dépendances à l’alcool, aux stupéfiants ou à des médicaments, susceptibles d’altérer les capacités psychiques (TF 1B_285/2016 précité ; TF 1B_279/2014 du 8 novembre 2014 consid. 2.1), ainsi que des troubles mentaux sévères ou même légers (Schmid/Jositsch, Praxiskommentar, op. cit., n. 9 ad art. 130 CPP ; Harari/Aliberti, in : Kuhn/Jeanneret, op. cit., n. 30 ad art. 130 CPP et la référence citée).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la référence citée ; Ruckstuhl, op. cit., n. 30 ad art. 130 CPP et la référence citée). D’après la doctrine, l’état physique ou psychique altéré peut être temporaire et résulter par exemple d’un accident ou d’une maladie, ou encore d’un traitement médicamenteux lourd ; dans de tels cas de figure, une défense obligatoire doit être assurée (cf. Ruckstuhl, op. cit., nn. 28 ss ad art. 130 CPP).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1B_285/2016 précité).</w:t>
      </w:r>
    </w:p>
    <w:p>
      <w:r>
        <w:rPr>
          <w:b/>
        </w:rPr>
        <w:t>E. 2.2.3</w:t>
      </w:r>
    </w:p>
    <w:p>
      <w:r>
        <w:t>En vertu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prévenu a un droit à être spontanément pourvu d’un défenseur d’office dans les cas de défense obligatoire, lorsque le prévenu ne désigne pas un défenseur de choix (ATF 143 I 164 consid. 2.3, RDAF 2018 I 310 ; ATF 131 I 350 consid. 2.1). Il existe une ambiguïté sur le point de savoir si, par l'expression « première audition »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Cette conclusion est en accord avec la systématique de la loi qui exige qu'une défense obligatoire soit garantie déjà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(CREP 14 novembre 2018/887 consid. 3.2.3 ; CREP 29 mars 2018/236 consid. 2.1 ; CREP 15 avril 2016/247 consid. 2.1 et les réf. cit.). Le Tribunal fédéral a également interprété l’art. 131 al. 2 CPP en ce sens que, face à un cas reconnaissable de défense obligatoire, la direction de la procédure doit la mettre en œuvre au moment de l’ouverture de l’instruction (art. 309 CPP), dès avant la première audition par le ministère public (TF 6B_178/2017 consid. 2.2.1 ; Jeanneret/Kuhn, Précis de procédure pénale, 2 e éd., Berne 2018, n° 7009, pp. 202 et 203). Il existe une incertitude liée à des divergences selon la version linguistique (« gültig », « valido », mais « exploitable » en français), s’agissant de déterminer le sort des preuves administrées en violation de l’art. 131 al. 2 CPP. La version française imposerait une inexploitabilité absolue (art. 141 al. 1 CPP), tandis que les autres versions orienteraient vers l’application de l’art. 141 al. 2 CPP. Après avoir retenu la version française (TF 6B_883/2013), le Tribunal fédéral a expressément laissé la question ouverte (ATF 141 IV 289 consid. 2.4, JdT 2016 IV 89 ; TF 6B_990/2017 consid. 2.4.4 ; TF 6B_124/2015 consid. 2.1.2). Selon la doctrine dominante, il convient de retenir l’hypothèse de l’inexploitabilité absolue, d’une part, parce que cela correspond à la volonté du législateur, et, d’autre part, en raison du caractère cardinal du droit à l’assistance de l’avocat au sein des principes du procès équitable (Jeanneret/Kuhn, op. cit., n° 7009, p. 203, et les références citées en note de bas de page 28 ; Ruckstuhl, in : Niggli/Wiprächtiger [éd.], Basler Kommentar, Strafrecht II, Art. 111-392 StGB, 3 e éd., Bâle 2013, n. 17 ad art. 131 CPP [qui analyse la volonté du législateur] ; contra : Schmid/Jositsch, Praxiskommentar, op. cit., n. 8 ad art. 131 CPP).</w:t>
      </w:r>
    </w:p>
    <w:p>
      <w:r>
        <w:rPr>
          <w:b/>
        </w:rPr>
        <w:t>E. 2.2.4</w:t>
      </w:r>
    </w:p>
    <w:p>
      <w:r>
        <w:t>Selon l’art. 141 al. 5 CPP, les pièces relatives aux moyens de preuves non exploitables doivent être retirées du dossier pénal, conservées à part jusqu’à la clôture définitive de la procédure, puis détruites. Il convient de distinguer deux cas de figure : soit la nécessité d'un défenseur était reconnaissable au moment de l'administration de la preuve et, dans ce cas, la preuve administrée sans le défenseur n'est en principe pas exploitable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(CREP 4 décembre 2018/940 consid. 3.2.2 ; Moreillon/Parein-Reymond, op. cit., n. 11 ad art. 131 CPP). 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4 décembre 2018/940 consid. 3.2.2 ; Moreillon/Parein-Reymond, op. cit., n. 12 ad art. 131 CPP). Ce principe interdit tout comportement contradictoire (cf. ATF 143 IV 117 consid. 3.2 ; ATF 137 V 394 consid. 7.1 ; ATF 136 I 254 consid. 5.2).</w:t>
      </w:r>
    </w:p>
    <w:p>
      <w:r>
        <w:rPr>
          <w:b/>
        </w:rPr>
        <w:t>E. 2.2.5</w:t>
      </w:r>
    </w:p>
    <w:p>
      <w:r>
        <w:t>En dehors des cas de défense obligatoire au sens de l’art. 130 CPP (art. 132 al. 1 let. a CPP), la direction de la procédure ordonne une défense d’office si le prévenu ne dispose pas des moyens nécessaires et si l’assistance d’un défenseur est justifiée pour sauvegarder ses intérêts (art. 132 al. 1 let. b CPP), ces deux conditions étant cumulatives (Harari/Aliberti, op. cit., n. 55 ad art. 132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critères énoncés par l'art. 132 al. 1 let. b, al. 2 et 3 CPP reprennent largement la jurisprudence du Tribunal fédéral en matière d'assistance judiciaire, rendue sur la base des art. 29 al. 3 Cst. et 6 ch. 3 let. c CEDH. Selon la jurisprudence, la désignation d'un défenseur d'office dans une procédure pénale est nécessaire lorsque le prévenu est exposé à une longue peine privative de liberté ou s'il est menacé d'une peine qui ne peut pas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1B_93/2018 du 29 mai 2018 consid. 3.1 et les nombreux arrêts cités).</w:t>
      </w:r>
    </w:p>
    <w:p>
      <w:r>
        <w:rPr>
          <w:b/>
        </w:rPr>
        <w:t>E. 2.3</w:t>
      </w:r>
    </w:p>
    <w:p>
      <w:r>
        <w:t>En l’espèce, dans son arrêt du 29 janvier 2019, la Chambre des recours pénale a considéré qu’à partir du moment où le recourant avait avoué qu’il était le conducteur lors de l’accident, les policiers auraient dû reconnaître qu’il y avait de très fortes chances qu’il ait le statut de prévenu de lésions corporelles graves par négligence et de violation grave des règles de la circulation routière (le décès d’une passagère étant survenu ultérieurement). La Chambre des recours pénale a en outre relevé que l’état du dossier ne permettait pas de savoir si le prévenu était, du fait de l’accident, du choc que celui-ci avait impliqué ou encore des médicaments pris, notamment contre la douleur, à même d’assurer intellectuellement et physiquement sa participation à la procédure, et en particulier s’il était à même de saisir les enjeux auxquels il était confronté dans la procédure pénale. Sur ce point, le complément d’instruction requis par le Ministère public, soit le rapport du Dr [...] du 8 mars 2019, laisse encore planer certaines incertitudes sur l’état physique et psychique du recourant lors de son audition du 7 septembre 2018. En effet, ce médecin commence par dire que depuis son admission dans le service des soins continus et par la suite, V.________ n’avait pas présenté de signes d’état confusionnel ou d’agitation et que son état paraissait normal. Quant à la médication, il a indiqué qu’il s’agissait d’un dérivé de la morphine dont les effets secondaires tel qu’état confusionnel, étaient peu importants. Ces éléments, ainsi que la cohérence du récit de V.________, et le fait qu’il a refusé de répondre s’agissant d’éventuels antécédents en France – ce qui démontre qu’il était bien conscient –, laissent penser que V.________ se trouvait en état de répondre, ce qui expliquerait que l’infirmière ait autorisé les policiers à poser leurs questions. Toutefois, ce rapport n’exclut pas un état de choc du patient et une amnésie circonstancielle de la période ayant précédé et suivi immédiatement l’accident, le Dr [...] précisant en outre qu’il était difficile de pouvoir indiquer si le patient était à même de saisir les enjeux auxquels il était confronté dans le cadre de la procédure pénale. Au vu de l’ensemble de ces éléments, on ne peut conclure que le recourant était réellement en état de défendre suffisamment ses intérêts lors de l’audition incriminée. En outre, le recourant a raison lorsqu’il soutient qu’au moment de cette première audition, la gravité de l’affaire était donnée puisque, d’une part, les occupants du véhicule accidenté étaient tous gravement blessés et, d’autre part, qu’une instruction pénale avait d’ores et déjà été ouverte par le Ministère public à l’encontre de la potentielle prévenue. Le fait qu’il se soit mis en cause rapidement après le début de l’audition aurait immédiatement dû entrainer l’application de l’art. 131 CPP, le cas de défense obligatoire étant manifestement reconnaissable dès cet instant. Partant, dès que les policiers se sont rendus compte que V.________ s’incriminait en disant qu’il était le conducteur du véhicule, ils auraient dû l’informer de ses droits, conformément à l’art. 158 CPP, même s’ils n’envisageaient pas l’hypothèse qu’il dise la vérité. Au vu de ce qui précède, il apparait d’une part qu’il ne peut pas être tenu pour constant que l’état physique et psychique de V.________ n’était pas altéré au moment de l’audition litigieuse et, d’autre part, que l’on se trouve dans le cas manifeste d’une violation de l’art. 158 al. 1 CPP. En conséquence, le procès-verbal d’audition du 7 novembre 2018 de V.________ doit être retranché du dossier et conservé à part jusqu’à la clôture définitive de la procédure, pour être ensuite détruit.</w:t>
      </w:r>
    </w:p>
    <w:p>
      <w:r>
        <w:rPr>
          <w:b/>
        </w:rPr>
        <w:t>E. 3</w:t>
      </w:r>
    </w:p>
    <w:p>
      <w:r>
        <w:t>En définitive, le recours doit être admis et la décision du Ministère public du 10 avril 2019 réformée dans le sens des considérants. Me Yaël Hayat a produit une liste d’opérations faisant état d’un total de 5h45 consacrées à la procédure de recours (P. 96/2/2). Il convient d’admettre la durée des opérations indiquées, à l’exception de la demi-heure attribuée au chef d’étude pour le suivi du dossier, qui ne se justifie pas. En effet, il ressort de la liste d’opérations produite que l’étude du dossier, les recherches juridiques et la rédaction du recours ont été effectuées par un avocat breveté, qui peut donc être autonome dans la gestion du dossier. Ainsi, les opérations à rémunérer totalisent 5h15 consacrées par un avocat breveté, au tarif de 180 fr. de l’heure (cf. art. 2 al. 1 RAJ [Règlement sur l’assistance judiciaire en matière civile du 7 décembre 2010 ; BLV 211.02.3] ; ATF 137 III 185), ce qui donne lieu à 945 fr. à titre d’honoraires. A ce montant s’ajoute des débours forfaitaires, au taux de 2 %, par 18 fr. 90 (cf. art. 26b TFIP qui renvoie à l'art. 3 bis RAJ), et la TVA sur le tout, au taux de 7,7%, par 74 fr. 20. Il en résulte que l’indemnité qui doit être allouée à Me Yaël Hayat se monte au total à 1'038 fr. 10. Les frais de recours, constitués de l’émolument d’arrêt, par 1’760 fr., et de l’indemnité du défenseur d’office, par 1'038 fr. 10, soit au total par 2'798 fr. 10, seront mis à la charge de D.________, L.________, P.________ et [...], qui succombent (art. 428 al. 1 CPP), à parts égales et solidairement entre eux (art. 418 al. 1 et 2 CPP). Par ces motifs, la Chambre des recours pénale prononce : I. Le recours est admis. II. L’ordonnance du 10 avril 2019 est réformée en ce sens que le procès-verbal de l’audition de V.________ du 7 septembre 2018 est retranché du dossier, conservé à part jusqu’à la clôture définitive de l’instruction, puis sera détruit. L’ordonnance est maintenue pour le surplus. III. L’indemnité allouée au défenseur d’office du recourant est fixée à 1'038 fr. 10 (mille trente-huit francs et dix centimes). IV. Les frais d’arrêt, par 1’760 fr., (mille sept cent soixante francs), ainsi que l’indemnité due au défenseur d’office du recourant, par 1'038 fr. 10 (mille trente-huit francs et dix centimes), sont mis à la charge de D.________, L.________, P.________ et [...], à parts égales et solidairement entre eux. V. L’arrêt est exécutoire. Le président :               La greffière : Du Le présent arrêt, dont la rédaction a été approuvée à huis clos, est notifié, par l'envoi d'une copie complète, à : - Me Lise-Marie Gonzalez Pennec, avocate (pour D.________, L.________, P.________ et [...]), - Me Magali Vasquez-Rodriguez, avocate (pour W.________), - Me Yaël Hayat, avocate (pour V.________), - Ministère public central, et communiqué à : ‑ M. le Procureur de l’arrondissement de l’Est vaudois, par l’envoi de photocopies. Le présent arrêt peut fair 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