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566 vom 4. Juli 2019</w:t>
      </w:r>
    </w:p>
    <w:p>
      <w:r>
        <w:t>VD Tribunal cantonal, 2019-07-04, FR</w:t>
      </w:r>
    </w:p>
    <w:p>
      <w:r>
        <w:rPr>
          <w:b/>
        </w:rPr>
        <w:t xml:space="preserve">Quelle: </w:t>
      </w:r>
      <w:r>
        <w:t>https://mcp.opencaselaw.ch/entscheid/vd_findinfo_D_cision___2019___566</w:t>
      </w:r>
    </w:p>
    <w:p>
      <w:r>
        <w:t>FR: VD_FINDINFO Décision / 2019 / 566 du 4 juillet 2019</w:t>
      </w:r>
    </w:p>
    <w:p>
      <w:r>
        <w:t>IT: VD_FINDINFO Décision / 2019 / 566 del 4 luglio 2019</w:t>
      </w:r>
    </w:p>
    <w:p>
      <w:pPr>
        <w:pStyle w:val="Heading2"/>
      </w:pPr>
      <w:r>
        <w:t>Regeste</w:t>
      </w:r>
    </w:p>
    <w:p>
      <w:r>
        <w:t>NON-LIEU, GESTION DÉLOYALE, ASSOCIATION SPORTIVE, VIOLATION DE L'OBLIGATION DE TENIR UNE COMPTABILITÉ, ADMISSION DE LA DEMANDE | 69 CC, 158 CP, 166 CP, 325 CP, 310 CPP (CH)</w:t>
      </w:r>
    </w:p>
    <w:p>
      <w:pPr>
        <w:pStyle w:val="Heading2"/>
      </w:pPr>
      <w:r>
        <w:t>Erwägungen</w:t>
      </w:r>
    </w:p>
    <w:p>
      <w:r>
        <w:rPr>
          <w:b/>
        </w:rPr>
        <w:t>E. 1</w:t>
      </w:r>
    </w:p>
    <w:p>
      <w:r>
        <w:t>Les parties peuvent attaquer une ordonnance de non-entrée en matière rendue par le ministère public (art. 310 CPP)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Interjeté dans le délai légal et dans les formes prescrites (art. 385 al. 1 CPP) auprès de l’autorité compétente, par la partie plaignante qui a qualité pour recourir s’agissant d’infractions qui ont pour but de protéger ses intérêts pécuniaires (art. 382 al. 1 CPP ; ATF 140 IV 155 consid. 3.3.1), le recours de Z.________ est recevable.</w:t>
      </w:r>
    </w:p>
    <w:p>
      <w:r>
        <w:rPr>
          <w:b/>
        </w:rPr>
        <w:t>E. 2.1</w:t>
      </w:r>
    </w:p>
    <w:p>
      <w:r>
        <w:t>La recourante reproche au Ministère public d’avoir rendu une ordonnance de non-entrée en matière. Elle soutient que, pour les actes dénoncés dans sa plainte pénale, tant l’état de fait que la situation juridique mériteraient d’être clarifiés, de sorte que le Ministère public aurait dû ouvrir une instruction à l’encontre des quatre personnes dénoncées pour les infractions de gestion déloyale, violation de l’obligation de tenir une comptabilité, respectivement inobservation des prescriptions légales sur la comptabilité, et escroquerie.</w:t>
      </w:r>
    </w:p>
    <w:p>
      <w:r>
        <w:rPr>
          <w:b/>
        </w:rPr>
        <w:t>E. 2.2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6B_940/2016 du 6 juillet 2017 consid. 3.3). Selon la jurisprudence, cette disposition doit être appliquée conformément à l'adage in dubio pro duriore . Celui-ci découle du principe de la légalité (art. 5 al. 1 Cst. [Constitution fédérale de la Confédération suisse du 18 avril 1999 ; RS 101] et 2 al. 1 CPP en relation avec les art. 309 al. 1, 319 al. 1 et 324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En d'autres termes, il faut être certain que l'état de fait ne constitue aucune infraction. Une ordonnance de non-entrée en matière ne peut être rendue que dans les cas clairs du point de vue des faits, mais également du droit ; en cas de doute sur l’un de ce deux plans, et donc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JdT 2017 IV 357 ; ATF 138 IV 86 consid. 4.1.2 ; ATF 137 IV 285 consid. 2.3 et les réf. citées, JdT 2012 IV 160 ; TF 6B_1279/2018 du 26 mars 2019 consid. 2.1).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2.3</w:t>
      </w:r>
    </w:p>
    <w:p>
      <w:r>
        <w:t>Il convient donc d’examiner, pour chacune des infractions pouvant entrer en ligne de compte selon la recourante, si la situation est claire du point de vue factuel et juridique.</w:t>
      </w:r>
    </w:p>
    <w:p>
      <w:r>
        <w:rPr>
          <w:b/>
        </w:rPr>
        <w:t>E. 3</w:t>
      </w:r>
    </w:p>
    <w:p>
      <w:r>
        <w:t>e éd., Genève 2008, p. 100).</w:t>
      </w:r>
    </w:p>
    <w:p>
      <w:r>
        <w:rPr>
          <w:b/>
        </w:rPr>
        <w:t>E. 3.1</w:t>
      </w:r>
    </w:p>
    <w:p>
      <w:r>
        <w:t>La recourante expose en premier lieu, et en substance, qu’elle aurait établi par la production de pièces que, le 7 juillet 2015, date de l’engagement de K.________, la situation financière du club était très obérée, et que les signataires de cet engagement le savaient pertinemment. Ainsi, par exemple, la recourante observe que, selon l’extrait du registre des poursuites (P. 4/1/24a), les cotisations sociales courantes n’étaient pas payées si bien qu’entre juillet et août 2015, la Caisse de compensation AVS aurait fait notifier au Z.________ sept commandements de payer pour un total de 118'000 fr. et, pour la période qui a suivi de septembre à octobre 2015, cinq autres commandements de payer. La TVA était également impayée, si bien que l’Administration fédérale des contributions avait également fait notifier des poursuites. La recourante relève que, dans un courriel adressé le 22 juin 2015 à S.________ et Q.________, soit aux deux signataires de l’engagement de K.________, R.________ faisait part de son opposition à évincer le précédent [...] C.________, doutait que le salaire du nouvel [...] F.________, qui venait d’être engagé, puisse être payé, disait s’inquiéter pour tous les montants impayés (« AVS, [...], [...], etc. »), constatait que le comité était en sous-nombre et estimait qu’il fallait convoquer une assemblée générale extraordinaire. Du reste, entendu par la police, R.________ avait confirmé que « les ressources ordinaires du club étaient largement insuffisantes pour résorber le découvert et pour établir un budget équilibré » (PV aud. 1, R. 5 p. 2). La recourante précise également que les conséquences financières de l’engagement de K.________ auraient excédé 100'000 fr. par année (8'000 x 12, auxquels il fallait ajouter environ 10 % correspondant à la part de l’employeur) et que l’association employeur n’aurait pu s’en défaire sauf à régler une peine conventionnelle exorbitante. Elle conteste que K.________, qui était au chômage depuis plus d’un an et était à la recherche d’un emploi dans le [...] ou dans un autre domaine, ait été en situation de dicter ses conditions, et en particulier la clause pénale litigieuse. Elle observe que la rémunération de ce nouvel employé devait immanquablement être supportée par l’association, la société anonyme n’étant pas partie au contrat et étant elle-même dans une situation critique ; quant à la Fondation X.________, si elle avait envisagé de soutenir financièrement le club [...], les pourparlers en ce sens n’avaient pas abouti. L’association Z.________ en conclut qu’en engageant dans ces circonstances un nouvel employé, pour une nouvelle fonction (il n’y avait jamais eu de [...] au sein du club), pour une longue durée déterminée (trois ans), et contre une rémunération élevée (aucun employé du club n’avait jamais perçu un si haut salaire), R.________, S.________ et Q.________ auraient conclu un contrat que l’association ne pouvait pas assumer. Ce faisant, ils auraient compromis gravement les intérêts de la personne morale dont ils avaient la gestion. Enfin, la recourante fait valoir que l’ancien comité aurait régulièrement pris des décisions en violation des statuts de l’association, notamment en créant une société anonyme alors que les conditions n’étaient pas remplies et qu’il était irrégulièrement constitué. Bien que le Ministère public n’en ait pas tenu compte, il s’agirait d’un indice supplémentaire de la violation des devoirs de gestion.</w:t>
      </w:r>
    </w:p>
    <w:p>
      <w:r>
        <w:rPr>
          <w:b/>
        </w:rPr>
        <w:t>E. 3.2</w:t>
      </w:r>
    </w:p>
    <w:p>
      <w:r>
        <w:t>Selon l’art. 158 ch. 1 CP (Code pénal suisse du 21 décembre 1937 ; RS 311.0) relatif à la gestion déloyale, qui sanctionne l’utilisation déloyale d’un pouvoir de gestion, est puni d’une peine privative de liberté de trois ans au plus ou d’une peine pécuniaire celui qui, en vertu de la loi, d’un mandat officiel ou d’un acte juridique, est tenu de gérer les intérêts pécuniaires d’autrui ou de veiller sur leur gestion et qui, en violation de ses devoirs, aura porté atteinte à ces intérêts ou aura permis qu’ils soient lésés (al. 1). Si l’auteur a agi dans le dessein de se procurer ou de procurer à un tiers un enrichissement illégitime, le juge pourra prononcer une peine privative de liberté de un à cinq ans (al. 3). Est gérant d’affaires au sens de l’art. 158 CP celui qui, de manière indépendante et en tant que responsable, de fait ou selon un mandat formel, doit s’occuper de gérer une part non négligeable du patrimoine d’autrui, dans l’intérêt de ce tiers. Le gérant d’affaires doit jouir d’une indépendance suffisante pour pouvoir disposer du patrimoine d’autrui, d’éléments importants de ce patrimoine ou des moyens de production ou du personnel d’une entreprise. La disposition s’applique notamment à des gérants d’affaires indépendants ainsi qu’aux organes dirigeants, sur le plan opérationnel, de personnes morales et de sociétés de capitaux. Est toutefois également gérant d’affaires celui qui assume, de fait, une telle position sans être au bénéfice d’un mandat formel (ATF 142 IV 346 consid. 3.2, JdT 2017 IV 224 ; ATF 129 IV 124 consid. 3.1, JdT 2005 IV 112 ; ATF 123 IV 17 consid. 3b ; ATF 120 IV 90 consid. 2b, SJ 1995 2 ; ATF 105 IV 106 consid. 2 ; ATF 100 IV 108 pp. 113 ss). L’infraction suppose un préjudice patrimonial. Un tel préjudice peut consister en une atteinte effective par diminution des actifs, augmentation des passifs, non-diminution des passifs ou non-augmentation des actifs. Un préjudice existe également lorsque le patrimoine est mis en danger dans une mesure telle que sa valeur économique s’en trouve diminuée. Tel est le cas lorsque l’établissement rigoureux du bilan suppose que l’on tienne compte de cette mise en danger, que ce soit en corrigeant les valeurs ou en créant des provisions (ATF 142 IV 346 précité ; ATF 129 IV 124 précité ; ATF 123 IV 17 précité ; ATF 122 IV 279 consid. 2a, JdT 1998 IV 67 ; ATF 121 IV 104 consid. 2c, et les réf. citées). Il doit y avoir rapport de causalité entre la violation du devoir de fidélité et le préjudice patrimonial. 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(ATF 142 IV 346 précité ; ATF 120 IV 90 précité ; ATF 118 IV 244 consid. 2b ; TF 6B_1030/2018 du 20 novembre 2018 consid. 1.1 ; TF 6B_382/2017 du 2 février 2018 consid. 3.1 ; TF 6B_787/2016 du 2 mai 2017 consid. 2.3). Subjectivement, l’infraction suppose une intention, qui doit porter tant sur l’action ou l’omission contraire aux devoirs que sur l’atteinte aux intérêts pécuniaires d’autrui et sur le lien de causalité existant entre le comportement qui viole les devoirs et le dommage. Le dol éventuel suffit. La preuve de son existence est soumise à des exigences élevées, car l’élément objectif que constitue la violation des devoirs est relativement flou (ATF 120 IV 190 précité et les réf. citées). L’infraction de gestion déloyale qualifiée au sens de l’art. 158 ch. 1 al. 3 CP suppose un dessein d’enrichissement illégitime. Un dessein éventuel suffit (ATF 142 IV 346 précité). Selon l’art. 69 CC (cf. aussi l’art. 55 CC), la direction d’une association a le droit et le devoir de gérer les affaires de l’association et de la représenter en conformité des statuts. Les droits et les devoirs des membres de la direction sont de nature corporatifs, et non pas contractuels (TF 6B_776/2016 du 8 novembre 2016 consid. 1.4.1 et les réf. citées). Les organes de l’association, qu’ils le soient à titre formel ou matériel, répondent donc envers celle-ci s’ils n’ont pas accompli leur devoir de manière diligente, à savoir s’ils n’ont pas agi comme on aurait pu l’attendre d’un comité prudent et raisonnable qui aurait été placé dans les mêmes circonstances concrètes (TF 6B_776/2016 précité ; TF 5A_691/2012 du 17 janvier 2013 consid. 3.2 ; Scherrer/Brägger, in : Geiser/Fountoulakis [éd.], Basler Kommentar, Zivilgesetzbuch I, 6 e éd., Bâle 2018, n. 36 ad art. 69 ZGB ; cf. aussi Chappuis, Droit de l’association,</w:t>
      </w:r>
    </w:p>
    <w:p>
      <w:r>
        <w:rPr>
          <w:b/>
        </w:rPr>
        <w:t>E. 3.3</w:t>
      </w:r>
    </w:p>
    <w:p>
      <w:r>
        <w:t>En l’espèce, les reproches formulés par la recourante en relation avec le contrat conclu le 7 juillet 2015 avec K.________ apparaissent des plus fondés. Tout d’abord, en qualité de membres de la direction de l’association, S.________ et Q.________, signataires du contrat de travail au nom de l’association, avaient bien la qualité de gérant, indépendamment du point de savoir si, sous leur seule signature, ils ont valablement engagé celle-ci. La première condition posée par l’art. 158 ch. 1 CP paraît ainsi remplie. Ensuite, il n’est pas possible d’exclure avec certitude, comme l’exige l’art. 310 CPP, que les prénommés aient violé leurs devoirs de gérant. Au contraire, les faits qui ressortent du dossier laissent penser qu’ils ont enfreint ceux-ci en toute connaissance de cause. En effet, alors que la situation de l’association était déjà financièrement très difficile, pour ne pas dire complètement obérée (cf. P. 26/1), que de nombreuses poursuites, notamment pour des salaires et des charges sociales impayés, lui avait été notifiées pour plusieurs dizaines de milliers de francs, que le club n’avait apparemment plus de liquidités, qu’il évoluait en [...], qu’il n’avait jamais eu de [...] avant mars 2015 et que C.________ assumait déjà de fait cette fonction en étant [...] et [...] depuis mars 2015 pour un salaire mensuel net de 2'200 fr., il est impossible de conclure qu’il était prudent et raisonnable d’engager K.________ en qualité de [...] pour un salaire de 8'000 fr. par mois – montant qu’apparemment aucun autre employé du club n’avait jusqu’ici jamais obtenu, même lorsque ledit club ne rencontrait pas de difficultés financières. A ce salaire, très élevé vu les circonstances critiques précitées et l’apparente impossibilité pratique de l’association de l’honorer, s’ajoute le fait que le contrat était conclu pour une durée déterminée de trois ans (du 8 juillet 2015 au 30 juin 2018), ce qui était également pour le moins insolite, eu égard auxdites circonstances. En outre, était aussi insolite, à cet égard, le fait que la durée déterminée de trois ans ne s’imposait qu’à l’employeur, le travailleur restant libre de dénoncer le contrat moyennant un délai de trois mois, sans contrepartie financière ; quant à l’employeur, s’il entendait dénoncer ce contrat avant son terme, il s’engageait à s’acquitter d’une indemnité de 300'000 fr. durant la première année, de 200'000 fr. durant la deuxième année et de 100'000 fr. durant la troisième année. Quant à la remarque du Procureur, selon laquelle la mission des membres du comité aurait été de « porter un projet [...] ambitieux », elle ne saurait justifier de le faire à n’importe quel coût pour l’association. Dans ces conditions, S.________ et Q.________ ont très certainement violé les obligations de diligence qui leur incombaient en qualité de membres de la direction de l’association. La seconde condition posée à l’art. 158 CP apparaît ainsi également remplie. En concluant, au nom de l’association, un contrat avec un tiers à des conditions que celle-ci n’était d’emblée pas en mesure de respecter, pour une fonction apparemment non directement utile, ce pour plusieurs années, sans possibilité de se dédire, sauf à s’acquitter d’une peine conventionnelle plus élevée que le salaire cumulé de l’intéressé, S.________ et Q.________ ont manifestement porté atteinte aux intérêts de l’association ou ont permis que ceux-ci soient lésés. Il convient de relever sur ce point que, contrairement à ce que soutiennent les intéressés, ce n’est pas le comité suivant qui a causé un dommage en résiliant, en août 2015, le contrat de travail du 7 juillet 2015 et, donc, en donnant lieu à l’activation de la clause pénale par K.________ ; ce faisant, le comité suivant a bien plutôt essayé de réduire le dommage causé, en premier lieu, par le contrat de travail litigieux du 7 juillet 2015. En outre, il ne ressort pas des auditions que la Fondation X.________, qui était peut-être pressentie pour assumer l’engagement en cause, ait finalement donné son accord à celui-ci. La troisième condition posée par l’art. 158 CP apparaît donc également remplie. Enfin, à ce stade, il n’est pas possible d’exclure que les intéressés aient agi intentionnellement. En effet, à la date de la conclusion du contrat, ils connaissaient le caractère très critique de la situation financière de l’association, et notamment les poursuites dirigées contre elle. Au demeurant, cette situation leur avait été rappelée par R.________ dans un courriel du 22 juin 2015 (P. 22/1), dans lequel celui-ci leur faisait expressément part de son opposition à licencier l’[...] C.________, de ses inquiétudes sur la faculté de payer tous les arriérés de salaire, ainsi que les nombreux impayés, du fait qu’il n’avait aucune visibilité sur le budget à venir ni sur les comptes de la saison précédente, et concluait que la convocation d’une assemblée générale extraordinaire serait utile. C’est donc très vraisemblablement en toute connaissance de cause que S.________ et Q.________ ont conclu, quelques jours plus tard, le contrat litigieux, sachant peut-être qu’ils allaient céder la main. Certes, ils paraissent invoquer que c’est K.________ lui-même qui aurait dicté ses conditions, mais cela paraît pour le moins douteux, s’agissant d’un employé qui était au chômage avant la conclusion du contrat litigieux. Quoi qu’il en soit, vu le caractère particulièrement insolite du contrat de travail conclu, leurs dénégations ne sont pas suffisantes à écarter tout caractère intentionnel à leurs agissements. Au vu de ce qui précède, c’est à tort que le Ministère public a refusé d’entrer en matière sur la plainte déposée par l’association Z.________ à l’encontre de S.________ et Q.________ pour la conclusion du contrat du 7 juillet 2015. Il lui appartiendra d’ouvrir une instruction et de mettre en œuvre toutes les mesures d’instruction nécessaires, notamment pour déterminer si, en plus des éléments relevés plus haut, l’aggravante de l’art. 158 ch. 1 al. 3 CP est réalisée, à savoir si les intéressés ont violé leurs devoirs dans le but de se procurer un enrichissement illégitime (par une rétrocession de K.________), ou de procurer un enrichissement audit K.________. Dans le premier cas, l’infraction d’escroquerie pourrait également entrer en ligne de compte.</w:t>
      </w:r>
    </w:p>
    <w:p>
      <w:r>
        <w:rPr>
          <w:b/>
        </w:rPr>
        <w:t>E. 4.1</w:t>
      </w:r>
    </w:p>
    <w:p>
      <w:r>
        <w:t>La recourante reproche également au Ministère public de ne pas être entré en matière sur la violation de l’obligation de tenir une comptabilité, respectivement l’inobservation des prescriptions légales sur la comptabilité. Elle soutient que les déclarations de R.________, S.________ et Q.________ au sujet du prétendu vol qu’aurait subi les locaux de l’association, portant sur du matériel informatique et divers documents, ne seraient ni concordantes, ni crédibles ; en effet, le vol n’aurait visé que les fichiers informatiques contenant la comptabilité, ce qui serait pour le moins surprenant. En outre, fort opportunément, ce vol aurait eu lieu quelque jours avant l’éviction du comité, et après que des renseignements sur les finances lui auraient été réclamés et que la convocation d’une assemblée générale lui aurait été demandée pour la nomination d’un autre comité. Enfin, la recourante observe qu’alors même que S.________ exploite une fiduciaire, le rapport de police souligne que le comportement des intéressés en matière de tenue de comptabilité relève de l’« amateurisme ».</w:t>
      </w:r>
    </w:p>
    <w:p>
      <w:r>
        <w:rPr>
          <w:b/>
        </w:rPr>
        <w:t>E. 4.2</w:t>
      </w:r>
    </w:p>
    <w:p>
      <w:r>
        <w:t>En vertu de l’art. 166 CP, est punissable en substance celui qui omet de tenir sa comptabilité régulièrement et conformément à son devoir légal, de sorte qu'il devient impossible d'établir sa situation ou de l'établir complètement. Seul peut se rendre coupable de cette infraction le débiteur soumis à l’obligation de tenir une comptabilité, respectivement ses organes de gestion et de représentation (art. 29 CP). Les associations qui n’ont pas l’obligation de requérir leur inscription au Registre du commerce sont soumises à des obligations allégées en matière de comptabilité et ne doivent obligatoirement tenir qu’une comptabilité des recettes et des dépenses ainsi que du patrimoine (« carnet du lait ») (Jeanneret/Hari, in : Macaluso/Moreillon/Queloz [éd.], Commentaire romand, Code pénal II, Bâle 2017, n. 9 ad art. 166 CP). L'auteur n'est punissable que s'il sait qu'à défaut d'une comptabilité régulièrement tenue, il sera impossible d'établir ou d'établir complètement la situation de la personne en cause, ou s'il envisage cette éventualité et qu'il s'en accommode (dol éventuel ; ATF 117 IV 163 consid. 2b). Cette infraction suppose au surplus l'insolvabilité de la personne en cause, avérée par sa faillite ou par un acte de défaut de biens (TF 6B_135/2015 du 23 novembre 2015 consid. 3). L’art. 325 CP rend punissable celui qui contrevient à l'obligation légale de tenir une comptabilité régulière. Cette infraction est une contravention alors que celle prévue par l'art. 166 CP est un délit ; en cas de concours, la première est absorbée par la seconde (ATF 72 IV 17 ; TF 6B_135/2015 précité ; TF 6S.242/2001 du 10 avril 2002 consid. 4b).</w:t>
      </w:r>
    </w:p>
    <w:p>
      <w:r>
        <w:rPr>
          <w:b/>
        </w:rPr>
        <w:t>E. 4.3</w:t>
      </w:r>
    </w:p>
    <w:p>
      <w:r>
        <w:t>En l’occurrence, la recourante fait l’objet d’actes de défaut de biens, délivrés au cours de la période où le comité formé de R.________, S.________ et Q.________ était en fonction (P. 4/1/21a et 4/1/24a). Certes, il n’apparaît pas que l’association soit inscrite au Registre du commerce ; cela ne signifie toutefois pas encore qu’elle n’a aucune obligation, fusse-t-elle allégée, en matière de tenue d’une comptabilité. En outre, on rejoint la recourante sur le fait que les circonstances dans lesquelles le vol du matériel informatique est survenu sont troublantes et doivent être éclaircies. Celles-ci ne permettent en tout cas pas à ce stade d’affirmer que les membres du comité auraient été dénués de toute intention délictueuse, le moment auquel est survenu le prétendu vol et les faits tels que rapportés par la plaignante laissant plutôt présager le contraire. Les conditions pour rendre une ordonnance de non-entrée en matière n’étant pas réunies, le Ministère public devra ouvrir une instruction sur les faits susmentionnés afin de déterminer si, comme le prétend la recourante, seul un disque dur a été volé et les raisons pour lesquelles les données informatiques qu’il contenait n’ont pas été sauvegardées sur un autre support. Il y aura également lieu de déterminer s’il est possible d’établir une comptabilité correspondant aux obligations de l’association sur la base des documents existants, ce qui, contrairement à ce qu’a considéré le Procureur, ne peut pas être retenu en l’état sur la seule base des déclarations des personnes mises en cause. Quant à l’art. 325 CP, comme il s’agit d’une contravention, elle aurait dû faire l’objet d’une plainte dans un délai de trois mois (cf. art. 31 CP, applicable par renvoi de l’art. 104 CP). Or, alors que le nouveau comité est entré en fonction le [...] 2015 et que dès cette date, les éventuelles informalités comptables auraient pu être décelées, la plainte pénale a été déposée le 6 juin 2017. Il n’y a donc pas matière à l’application de cette disposition dans le cas d’espèce.</w:t>
      </w:r>
    </w:p>
    <w:p>
      <w:r>
        <w:rPr>
          <w:b/>
        </w:rPr>
        <w:t>E. 5.1</w:t>
      </w:r>
    </w:p>
    <w:p>
      <w:r>
        <w:t>Enfin, la recourante fait grief au Procureur d’avoir refusé d’entrer en matière sur la question de la gestion des recettes publicitaires et des cotisations des [...] de l’association, qui auraient été détournées et auraient profité uniquement à la société H.________ SA, au préjudice de l’association.</w:t>
      </w:r>
    </w:p>
    <w:p>
      <w:r>
        <w:rPr>
          <w:b/>
        </w:rPr>
        <w:t>E. 5.2</w:t>
      </w:r>
    </w:p>
    <w:p>
      <w:r>
        <w:t>S’agissant des règles applicables, il peut être intégralement renvoyé à l’exposé concernant la gestion déloyale figurant sous chiffre 3.2 supra .</w:t>
      </w:r>
    </w:p>
    <w:p>
      <w:r>
        <w:rPr>
          <w:b/>
        </w:rPr>
        <w:t>E. 5.3.1</w:t>
      </w:r>
    </w:p>
    <w:p>
      <w:r>
        <w:t>supra ), il ne peut être exclu – à ce stade – que ces avantages aient également concerné les cotisations des [...]. Le recours est donc également bien fondé sur ce point.</w:t>
      </w:r>
    </w:p>
    <w:p>
      <w:r>
        <w:rPr>
          <w:b/>
        </w:rPr>
        <w:t>E. 5.3.2</w:t>
      </w:r>
    </w:p>
    <w:p>
      <w:r>
        <w:t>Quant aux cotisations des [...], le Ministère public retient qu’elles ont bien été versées sur le compte bancaire de l’association, et non sur celui de la société anonyme. La recourante conteste ce fait, en relevant que l’instruction aurait été sur ce point incomplète, le rapport de police ne se fondant que sur un extrait bancaire portant sur une période d’un mois et demi fourni par S.________ ; il y aurait ainsi lieu de donner suite à sa réquisition tendant à la production d’un extrait du compte bancaire de la société anonyme pour toute la période où les personnes mises en cause ont dirigé l’association. Ce n’est qu’en disposant de cet extrait de compte et en l’examinant que l’on pourrait déterminer si H.________ SA a bénéficié indûment de cotisations de [...]. A cet égard, le Procureur relève que la recourante dispose nécessairement de la liste de ses propres [...] et des détails de son propre compte bancaire ; or, il lui a été impossible de mettre en exergue un ou plusieurs [...] qui n’auraient pas réglé leurs cotisations auprès d’elle. Tant les arguments du Ministère public que ceux de la recourante ont leur pertinence. Il paraît cependant excessif d’exiger de la recourante qu’elle procède aux vérifications demandées afin d’établir si l’un ou l’autre de ses [...] n’auraient pas versé ses cotisations auprès d’elle alors que la production d’un extrait du compte bancaire de la société anonyme, mesure d’instruction rapide et efficace, permettrait immédiatement de se faire une opinion. En outre, il faut relever que, si H.________ SA a bénéficié d’avantages de la part des sponsors au détriment de l’association (cf. chiffre</w:t>
      </w:r>
    </w:p>
    <w:p>
      <w:r>
        <w:rPr>
          <w:b/>
        </w:rPr>
        <w:t>E. 6</w:t>
      </w:r>
    </w:p>
    <w:p>
      <w:r>
        <w:t>En définitive, le recours doit être admis, l’ordonnance entreprise annulée, sous réserve des faits et infractions relatifs au chiffre 3.4 de celle-ci, qui n’ont pas été contestés, et le dossier de la cause renvoyé au Ministère public central, division criminalité économique, pour qu’il ouvre une instruction pénale et procède dans le sens des considérants. Les frais de la procédure de recours, constitués en l’espèce du seul émolument d’arrêt (art. 422 al. 1 CPP), par 2'090 fr. (art. 20 al. 1 TFIP [Tarif des frais de procédure et indemnités en matière pénale du 28 septembre 2010 ; BLV 312.03.1]), seront laissés à la charge de l’Etat (art. 428 al. 4 CPP). La recourante, qui obtient gain de cause et qui a procédé avec l’assistance d’un mandataire professionnel, a droit à une indemnité pour les dépenses occasionnées par l’exercice raisonnable de ses droits pour la procédure de recours. Au vu du mémoire produit, cette indemnité sera fixée à 1’800 fr., auxquels il convient d’ajouter des débours forfaitaires à concurrence de 2 % (art. 19 al. 2 TDC [Tarif des dépens en matière civile du 23 novembre 2010 ; BLV 270.11.6], applicable par renvoi de l’art. 26a al. 6 TFIP), par 36 fr., plus un montant correspondant à la TVA – étant rappelé que si les indemnités au sens des art. 429 ss CPP ne sont pas soumises à la TVA (art. 18 al. 2 let. i LTVA [Loi fédérale régissant la taxe sur la valeur ajoutée du 12 juin 2009 ; RS 641.20]), il convient de tenir compte du fait que les honoraires payés par la partie à son avocat sont quant à eux soumis à la TVA (CREP 19 mars 2015/91 consid. 3.1.2) –, par 141 fr. 35, soit 1'977 fr. 35 au total. Elle sera laissée à la charge de l’Etat, en l’absence de partie succombante (TF 6B_265/2016 du 1 er juin 2016 consid. 2.3 et 2.4 in limine). Par ces motifs, la Chambre des recours pénale prononce : I. Le recours est admis. II. L’ordonnance du 22 novembre 2018 est annulée, sous réserve des faits et infractions relatifs au chiffre 3.4 de celle-ci pour lesquels elle est maintenue. III. Le dossier de la cause est renvoyé au Ministère public central, division criminalité économique, pour qu’il procède dans le sens des considérants. IV. Les frais d’arrêt, par 2'090 fr. (deux mille nonante francs), sont laissés à la charge de l’Etat. V. Une indemnité de 1'977 fr. 35 (mille neuf cent septante-sept francs et trente-cinq centimes) est allouée à Z.________ pour la procédure de recours, à la charge de l’Etat. VI. L’arrêt est exécutoire. Le président : La greffière : Du Le présent arrêt, dont la rédaction a été approuvée à huis clos, est notifié, par l'envoi d'une copie complète, à : - Me Christian Favre, avocat (pour Z.________), - Ministère public central, et communiqué à : - M. le Procureur du Ministère public central, division criminalité économique,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