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565 vom 12. Juni 2019</w:t>
      </w:r>
    </w:p>
    <w:p>
      <w:r>
        <w:t>VD Tribunal cantonal, 2019-06-12, FR</w:t>
      </w:r>
    </w:p>
    <w:p>
      <w:r>
        <w:rPr>
          <w:b/>
        </w:rPr>
        <w:t xml:space="preserve">Quelle: </w:t>
      </w:r>
      <w:r>
        <w:t>https://mcp.opencaselaw.ch/entscheid/vd_findinfo_D_cision___2019___565</w:t>
      </w:r>
    </w:p>
    <w:p>
      <w:r>
        <w:t>FR: VD_FINDINFO Décision / 2019 / 565 du 12 juin 2019</w:t>
      </w:r>
    </w:p>
    <w:p>
      <w:r>
        <w:t>IT: VD_FINDINFO Décision / 2019 / 565 del 12 giugno 2019</w:t>
      </w:r>
    </w:p>
    <w:p>
      <w:pPr>
        <w:pStyle w:val="Heading2"/>
      </w:pPr>
      <w:r>
        <w:t>Regeste</w:t>
      </w:r>
    </w:p>
    <w:p>
      <w:r>
        <w:t>CRÉDIBILITÉ, REJET DE LA DEMANDE, DÉCISION D'IRRECEVABILITÉ |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d’G.________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TF 6B_193/2018 du 3 juillet 2018 consid. 2.1; TF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TF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(TF 6B_766/2018 du 28 septembre 2018 consid. 3.1).</w:t>
      </w:r>
    </w:p>
    <w:p>
      <w:r>
        <w:rPr>
          <w:b/>
        </w:rPr>
        <w:t>E. 2.2</w:t>
      </w:r>
    </w:p>
    <w:p>
      <w:r>
        <w:t>En l’espèce, le recourant ne développe aucun moyen à l’encontre du raisonnement tenu par le Ministère public. Il fait valoir pour l’essentiel que le dénom­mé [...], qui aurait également été hospitalisé à [...], aurait reconnu qu’il travaillait pour S.________, qu’il se serait rendu sur place « par curiosité » et pour sa « responsa­bilité de citoyen », qu’il aurait alors été agressé, dénigré et battu par S.________ et que celui-ci devrait lui verser le montant de 5'500 fr. pour le dédommager. Or selon le rapport de la gendarmerie qui figure au dossier (P. 4), les explications fournies par G.________ étaient nébuleuses et il n’a pu donner aucun renseignement clair au sujet du prénommé [...]. Au surplus, G.________ était connu pour souffrir de troubles psychologiques. Dans ces circonstan­ces, les déclarations du recourant sont sujettes à caution. Partant, le choix de la Procureure de ne pas entrer en matière n’est pas critiquable. Au demeurant, on ne voit pas quels éléments supplémentaires auraient pu conduire à l’ouverture d’une instruction pénale au sens formel.</w:t>
      </w:r>
    </w:p>
    <w:p>
      <w:r>
        <w:rPr>
          <w:b/>
        </w:rPr>
        <w:t>E. 3</w:t>
      </w:r>
    </w:p>
    <w:p>
      <w:r>
        <w:t>En définitive, le recours interjeté par G.________, manifestement mal fondé, doit être rejeté sans échange d’écritures (art. 390 al. 2 CPP) et l’ordonnance du 21 mai 2019 confirmée. Les frais de la procédure de recours, constitués en l’espèce du seul émolument d’arrêt (art. 422 al. 1 CPP),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21 mai 2019 est confirmée. III. Les frais de la procédure de recours, par 660 fr. (six cent soixante francs), sont mis  la charge d’G.________. IV. L’arrêt est exécutoire. Le président :               La greffière : Du Le présent arrêt, dont la rédaction a été approuvée à huis clos, est notifié, par l'envoi d'une copie complète, à : - M. G.________, - M. S.________,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