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557 vom 2. Juli 2019</w:t>
      </w:r>
    </w:p>
    <w:p>
      <w:r>
        <w:t>VD Tribunal cantonal, 2019-07-02, FR</w:t>
      </w:r>
    </w:p>
    <w:p>
      <w:r>
        <w:rPr>
          <w:b/>
        </w:rPr>
        <w:t xml:space="preserve">Quelle: </w:t>
      </w:r>
      <w:r>
        <w:t>https://mcp.opencaselaw.ch/entscheid/vd_findinfo_D_cision___2019___557</w:t>
      </w:r>
    </w:p>
    <w:p>
      <w:r>
        <w:t>FR: VD_FINDINFO Décision / 2019 / 557 du 2 juillet 2019</w:t>
      </w:r>
    </w:p>
    <w:p>
      <w:r>
        <w:t>IT: VD_FINDINFO Décision / 2019 / 557 del 2 luglio 2019</w:t>
      </w:r>
    </w:p>
    <w:p>
      <w:pPr>
        <w:pStyle w:val="Heading2"/>
      </w:pPr>
      <w:r>
        <w:t>Regeste</w:t>
      </w:r>
    </w:p>
    <w:p>
      <w:r>
        <w:t>ASSISTANCE JUDICIAIRE, AVOCAT D'OFFICE, DROIT À UN DÉFENSEUR, REJET DE LA DEMANDE | 136 CPP (CH)</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d’assistance judiciaire et de désignation d'un conseil juridique gratuit (art. 393 al. 1 let. a CPP ; CREP 12 décembre 2018/968 ; CREP 13 février 2017/111), par une partie qui a qualité pour recourir (art. 382 al. 1 CPP) et dans les formes prescrites (art. 385 al. 1 CPP), le recours de X.________ est recevable.</w:t>
      </w:r>
    </w:p>
    <w:p>
      <w:r>
        <w:rPr>
          <w:b/>
        </w:rPr>
        <w:t>E. 2</w:t>
      </w:r>
    </w:p>
    <w:p>
      <w:r>
        <w:t>Une même personne ne peut pas avoir simultanément le statut de prévenu et de partie plaignante dans la même procédure (cf. Moreillon/Parein-Reymond, Code de procédure pénale, Petit commentaire, 2 e éd., Bâle 2016., n. 4 ad art. 104 CPP). Il s’ensuit que, lorsqu’une contre-plainte est déposée et qu’elle est traitée dans la même procédure que la plainte initiale, l’auteur de la plainte principale comme celui de la contre-plainte revêtent la qualité de prévenu. Si un conseil juridique, au sens large où cette notion est employée dans l’intitulé du chapitre 4 du titre 1 du CPP, leur est désigné, ce conseil sera un défenseur d’office tant et aussi longtemps qu’ils auront la qualité de prévenu dans la procédure. Il ne semble toutefois pas que le législateur ait voulu empêcher que, dans cette configuration, un conseil juridique gratuit soit désigné à l’une des parties non seulement pour présenter sa défense sur le chef de prévention dont elle fait l’objet, mais encore pour l’assister dans l’exercice de ses droits de partie plaignante, en application de l’art. 136 CPP.</w:t>
      </w:r>
    </w:p>
    <w:p>
      <w:r>
        <w:rPr>
          <w:b/>
        </w:rPr>
        <w:t>E. 3.1</w:t>
      </w:r>
    </w:p>
    <w:p>
      <w:r>
        <w:t>Le Ministère public a considéré que les faits reprochés au prévenu étaient d’une gravité toute relative et qu’ils consistaient essentiellement en des infractions contre l’’honneur et en de multiples violations de l’interdiction que la justice civile avait faite au prévenu de contacter la partie plaignante. Pour transmettre d’éventuels nouveaux messages au ministère public et manifester la volonté que leur auteur soit poursuivi, l’assistance d’un avocat n’était pas nécessaire, même pour une personne ne maîtrisant pas le français. L’instruction ne nécessiterait pas beaucoup d’actes, de sorte que la cause était simple en fait et en droit. En outre, les autres conditions de l’assistance judiciaire n’étaient pas remplies. La recourante fait valoir que, sans l’aide de son conseil, elle n’aurait pas été en mesure de comprendre que les éléments de preuve produits par le prévenu lors de son audition constituaient des infractions pénales qui la touchaient directement dans ses intérêts protégées par la loi. Elle fait aussi valoir qu’elle émarge à l’aide sociale, qu’elle ne comprend pas bien le français, que son état de santé nécessiterait qu’elle soit assistée dans la présente procédure, que le véritable harcèlement auquel le prévenu se livrerait la fragiliserait de sorte que ses prétentions civiles ne seraient en tout cas pas dépourvues de chances de succès, et que les conditions d’application de l’art. 136 al. 1 et 2 let. c CPP seraient ainsi remplies.</w:t>
      </w:r>
    </w:p>
    <w:p>
      <w:r>
        <w:rPr>
          <w:b/>
        </w:rPr>
        <w:t>E. 3.2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(TF 1B_401/2018 du 10 décembre 2018, destiné à la publication, consid. 2). L'assistance judiciaire au sens de l'art. 136 CPP ne peut être accordée à la partie plaignante que si l’assistance d’un avocat se révèle nécessaire à la défense de ses intérêts.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1B_245/2017 du 23 août 2017 consid. 1 ; TF 1B_151/2016 du 1 er juin 2016 consid. 2.3 ; TF 1B_173/2014 du 17 juillet 2014 consid. 3.1.2 ; TF 6B_122/2013 du 11 juillet 2013 consid. 4.1.2). Les chances de succès de l'action civile doivent être examinées par l'autorité compétente lors du dépôt de la demande d'assistance judiciaire (Harari/Corminboeuf, Commentaire romand, Code de procédure pénale suisse, Bâle 2011,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w:t>
      </w:r>
    </w:p>
    <w:p>
      <w:r>
        <w:rPr>
          <w:b/>
        </w:rPr>
        <w:t>E. 3.3</w:t>
      </w:r>
    </w:p>
    <w:p>
      <w:r>
        <w:t>Pour déterminer si un prévenu frappé d'une incapacité personnelle peut suffisamment se défendre ou non, la direction de la procédure dispose d'une marge d'appréciation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1B_285/2016 du 1 er septembre 2016 consid. 2.1). La jurisprudence en déduit qu’il appartient à la direction de la procédure, non au médecin, d’apprécier si le prévenu peut suffisamment se défendre ; il revient seulement au médecin d’attester des effets concrets de l’état de santé du prévenu sur la capacité de celui-ci de comprendre les enjeux et de participer aux actes de la procédure – pour que la direction de la procédure puisse, compte tenu de ces effets, apprécier si le prévenu peut suffisamment se défendre (CREP 24 juin 2019/509). Il y a lieu de raisonner de la même manière lorsque la partie plaignante invoque son état de santé à l’appui d’une requête de désignation d’un conseil gratuit.</w:t>
      </w:r>
    </w:p>
    <w:p>
      <w:r>
        <w:rPr>
          <w:b/>
        </w:rPr>
        <w:t>E. 3.4</w:t>
      </w:r>
    </w:p>
    <w:p>
      <w:r>
        <w:t>Dans le cas présent, la recourante se prévaut d’une attestation médicale qui indique simplement que « cette personne présente une importante souffrance sur les plans précités (trouble dépressif et anxieux mixte dans le cadre de sévères difficultés d’adaptation à caractère traumatique) qui justifie une assistance juridique de la part d’un avocat dans toute affaire sur le plan civil et/ou pénal qui la concerne » (P. 27/3). Cette attestation n’indique pas en quoi la recourante serait incapable de comprendre les enjeux de la procédure ou de participer à celle-ci. Il peut dès lors difficilement être tenu compte de l’attestation médicale produite par la recourante. Pour le surplus, il faut rappeler que ce ne sont pas les difficultés que pose la découverte d’une éventuelle infraction pénale qui sont susceptibles de justifier la désignation d’un conseil juridique gratuit, mais seulement les difficultés de la cause elle-même, après la découverte de l’infraction dénoncée. Peu importe, dès lors, que, sans l’aide reçue par son avocat dans le cadre de la procédure civile, la recourante n’ait peut-être pas été en mesure de se rendre compte qu’elle pouvait aussi élever des prétentions dans une procédure pénale. Comme l’a retenu à bon droit la procureure, la rédaction d’éventuelles nouvelles plaintes – par la simple transmission des messages litigieux avec l’indication que la recourante porte plainte – et la prise de conclusions civiles – par l’indication d’un montant chiffré –, ainsi que l’ensemble des questions de fait et de droit de l’affaire, ne nécessitent pas de recourir aux services d’un avocat. L’une des conditions cumulatives de l’art. 136 CPP au moins n’étant pas réalisées, c’est à bon droit que le Ministère public a refusé l’octroi de l’assistance judiciaire et la désignation d’un conseil juridique à X.________.</w:t>
      </w:r>
    </w:p>
    <w:p>
      <w:r>
        <w:rPr>
          <w:b/>
        </w:rPr>
        <w:t>E. 4</w:t>
      </w:r>
    </w:p>
    <w:p>
      <w:r>
        <w:t>En définitive, le recours, manifestement mal fondé, doit être rejeté sans échange d’écritures (art. 390 al. 2 CPP) et l’ordonnance entreprise confirmée. Les frais de la procédure de recours, constitués en l’espèce de l’émolument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17 juin 2019 est confirmée. III. Les frais d’arrêt, par 770 fr. (sept cent septante francs), sont mis à la charge de X.________. IV. L’arrêt est exécutoire. Le président :               La greffière : Du Le présent arrêt, dont la rédaction a été approuvée à huis clos, est notifié, par l'envoi d'une copie complète, à : - Me Jérôme Campart, avocat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