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539 vom 1. Juli 2019</w:t>
      </w:r>
    </w:p>
    <w:p>
      <w:r>
        <w:t>VD Tribunal cantonal, 2019-07-01, FR</w:t>
      </w:r>
    </w:p>
    <w:p>
      <w:r>
        <w:rPr>
          <w:b/>
        </w:rPr>
        <w:t xml:space="preserve">Quelle: </w:t>
      </w:r>
      <w:r>
        <w:t>https://mcp.opencaselaw.ch/entscheid/vd_findinfo_D_cision___2019___539</w:t>
      </w:r>
    </w:p>
    <w:p>
      <w:r>
        <w:t>FR: VD_FINDINFO Décision / 2019 / 539 du 1 juillet 2019</w:t>
      </w:r>
    </w:p>
    <w:p>
      <w:r>
        <w:t>IT: VD_FINDINFO Décision / 2019 / 539 del 1 luglio 2019</w:t>
      </w:r>
    </w:p>
    <w:p>
      <w:pPr>
        <w:pStyle w:val="Heading2"/>
      </w:pPr>
      <w:r>
        <w:t>Regeste</w:t>
      </w:r>
    </w:p>
    <w:p>
      <w:r>
        <w:t>RISQUE DE COLLUSION, DÉTENTION PROVISOIRE | 221 al. 1 let. b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d’organisation judiciaire du 12 décembre 1979; BLV 173.01]). En l’espèce,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respectivement le maintien,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2.3</w:t>
      </w:r>
    </w:p>
    <w:p>
      <w:r>
        <w:t>En l’espèce, le recourant conteste d’abord l’existence de soupçons suffisants à son encontre (recours, let. A, ch. 3). [...] a clairement déclaré avoir subi des brutalités, dont les séquelles physiologiques ont fait l’objet d’un constat médical établi au CHUV sitôt après les faits. A dires de médecin, les lésions ainsi mises en évidence sont compatibles avec sa déposition mais pourraient aussi « résulter d’une autre cause » (PV des op., p. 20). Âgée de moins de 19 ans lors des faits, l’intéressée a, le 15 juin 2019, vers 5 h, envoyé des messages vocaux à un ami pour demander de l’aide, en indiquant qu’elle se trouvait à Vevey, séquestrée dans un logement sis [...], [...], avec deux hommes inconnus. L’adresse communiquée était celle du prévenu. Ce dernier ne conteste pas avoir entretenu des rapports intimes avec [...] dans son logement, en présence de [...]. Il admet l’existence de fichiers vidéo (PV de l’audition d’arrestation, lignes 55-57), ce qu’il avait initialement nié lors de son audition par la police (PV, R. 9, p. 10). Cela étant, les versions des protagonistes divergent quant au consentement de la jeune femme et des actes respectifs des protagonistes. A ce stade très précoce de l’enquête, le faisceau d’indices ci-dessus suffit à retenir, à l’encontre du prévenu, de graves soupçons de culpabilité d'avoir commis un crime ou un délit.</w:t>
      </w:r>
    </w:p>
    <w:p>
      <w:r>
        <w:rPr>
          <w:b/>
        </w:rPr>
        <w:t>E. 3.1</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3.2</w:t>
      </w:r>
    </w:p>
    <w:p>
      <w:r>
        <w:t>Renonçant à examiner le danger de fuite également invoqué par le Ministère public, le Tribunal des mesures de contrainte a retenu le risque de collusion. L’autorité s’est fondée sur le fait que des mesures d’instruction devaient encore être effectuées, s’agissant notamment d’auditions. Elle a ajouté qu’il paraissait prématuré d’envisager toute libération avant l’analyse des téléphones et de l’examen des enregistrements effectués lors des faits incriminés. Le prévenu, qui conteste les griefs de [...] et, dans une certaine mesure, la version des faits présentée par [...], pourrait être tenté d’entrer en contact avec des personnes dont l’audition est prévue, pour influer en sa faveur sur leurs dépositions, voire, le cas échéant, pour faire disparaitre ou altérer des moyens de preuve qui n’auraient pas encore été recueillis par les enquêteurs. Le fait que son acolyte présumé soit également détenu provisoirement n’y change rien (TF 1B_488/2018 du 5 novembre 2018 consid. 2.4). Le risque de collusion est donc avéré.</w:t>
      </w:r>
    </w:p>
    <w:p>
      <w:r>
        <w:rPr>
          <w:b/>
        </w:rPr>
        <w:t>E. 3.3</w:t>
      </w:r>
    </w:p>
    <w:p>
      <w:r>
        <w:t>Les mesures de substitution proposées ne sont pas de nature à pallier le risque de collusion. On ne voit au surplus pas quelle autre mesure le permettrait.</w:t>
      </w:r>
    </w:p>
    <w:p>
      <w:r>
        <w:rPr>
          <w:b/>
        </w:rPr>
        <w:t>E. 3.4</w:t>
      </w:r>
    </w:p>
    <w:p>
      <w:r>
        <w:t>L’existence d’un risque de collusion dispense en soi d’examiner le risque de fuite, les conditions posées par l'art. 221 CPP étant alternatives et non cumulatives (TF 1B_242/2016 du 21 juillet 2016 consid. 5).</w:t>
      </w:r>
    </w:p>
    <w:p>
      <w:r>
        <w:rPr>
          <w:b/>
        </w:rPr>
        <w:t>E. 4</w:t>
      </w:r>
    </w:p>
    <w:p>
      <w:r>
        <w:t>Il résulte de ce qui précède que le recours, manifestement mal fondé, doit être rejeté sans échange d’écritures (art. 390 al. 2 CPP) et l’ordonnance du 18 juin 2019 confirmée. Les frais de la procédure de recours, par 770 fr. (art. 20 al. 1 TFIP [tarif des frais de procédure et indemnités en matière pénale du 28 septembre 2010; BLV 312.03.1]), ainsi que les frais imputables à la défense d’office (art. 422 al. 1 et 2 let. a CPP), fixés à 593 fr. 20, qui comprennent des honoraires par 540 fr., des débours forfaitaires, au taux de 2 %, par 10 fr. 80 (cf. art. 26b TFIP qui renvoie à l'art. 3 bis RAJ [règlement sur l’assistance judiciaire en matière civile du 7 décembre 2010; BLV 211.02.3], en vigueur dès le 1 er mai 2019),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juin 2019 est confirmée. III. L’indemnité allouée au défenseur d’office de K.________ est fixée à 593 fr. 20 (cinq cent nonante-trois francs et vingt centimes). IV. Les frais d’arrêt, par 770 fr. (sept cent septante francs), ainsi que l’indemnité due au défenseur d’office de K.________, par 593 fr. 20 (cinq cent nonante-trois francs et vingt centimes), sont mis à la charge de ce dernier. V. Le remboursement à l'Etat de l'indemnité allouée au chiffre III ci-dessus ne sera exigible que pour autant que la situation financière de K.________ le permette. VI. L’arrêt est exécutoire. Le président :               Le greffier : Du Le présent arrêt, dont la rédaction a été approuvée à huis clos, est notifié, par l'envoi d'une copie complète, à : - Me Loïka Lorenzini, avocate (pour K.________), - Ministère public central, et communiqué à : - M. le Président du Tribunal des mesures de contrainte, - M. le Procureur de l’arrondissement de l’Est vaudois, - Service de la population,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