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536 vom 2. Juli 2019</w:t>
      </w:r>
    </w:p>
    <w:p>
      <w:r>
        <w:t>VD Tribunal cantonal, 2019-07-02, FR</w:t>
      </w:r>
    </w:p>
    <w:p>
      <w:r>
        <w:rPr>
          <w:b/>
        </w:rPr>
        <w:t xml:space="preserve">Quelle: </w:t>
      </w:r>
      <w:r>
        <w:t>https://mcp.opencaselaw.ch/entscheid/vd_findinfo_D_cision___2019___536</w:t>
      </w:r>
    </w:p>
    <w:p>
      <w:r>
        <w:t>FR: VD_FINDINFO Décision / 2019 / 536 du 2 juillet 2019</w:t>
      </w:r>
    </w:p>
    <w:p>
      <w:r>
        <w:t>IT: VD_FINDINFO Décision / 2019 / 536 del 2 luglio 2019</w:t>
      </w:r>
    </w:p>
    <w:p>
      <w:pPr>
        <w:pStyle w:val="Heading2"/>
      </w:pPr>
      <w:r>
        <w:t>Regeste</w:t>
      </w:r>
    </w:p>
    <w:p>
      <w:r>
        <w:t>CHOIX DU DÉFENSEUR, DÉFENSE D'OFFICE | 133 al. 2 CPP (CH), 134 al. 2 CPP (CH)</w:t>
      </w:r>
    </w:p>
    <w:p>
      <w:pPr>
        <w:pStyle w:val="Heading2"/>
      </w:pPr>
      <w:r>
        <w:t>Erwägungen</w:t>
      </w:r>
    </w:p>
    <w:p>
      <w:r>
        <w:rPr>
          <w:b/>
        </w:rPr>
        <w:t>E. 1.1</w:t>
      </w:r>
    </w:p>
    <w:p>
      <w:r>
        <w:t>En vertu de l’art. 38 al. 1 LEP (Loi sur l’exécution des condamnations pénales du 4 juillet 2006;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Tel n'est pas le cas des décisions relatives à l'instruction de la décision à rendre sur le fond (JdT 2012 III 191; CREP</w:t>
      </w:r>
    </w:p>
    <w:p>
      <w:r>
        <w:rPr>
          <w:b/>
        </w:rPr>
        <w:t>E. 1.3</w:t>
      </w:r>
    </w:p>
    <w:p>
      <w:r>
        <w:t>En l’espèce, le recours a été interjeté en temps utile, auprès de l’autorité compétente, par le condamné qui a qualité pour recourir (art. 382 al. 1 CPP). Si une ordonnance refusant de désigner un défenseur d’office au prévenu est susceptible de causer un préjudice irréparable (ATF 140 IV 202 consid. 2; ATF 139 IV 113; CREP 8 août 2018/592), tel n’est pas le cas d’une ordonnance désignant à un condamné un autre défenseur d’office que celui qu’il souhaiterait, sous réserve d’un conflit d’intérêts ou de carences manifestes de l’avocat désigné (ATF 139 IV 113 consid. 1.1, JdT 2014 IV 30; JdT 2016 III 63 consid. 1.1). Ces circonstances ne sont pas alléguées en l’espèce, ce qui rend en principe le recours irrecevable pour ce motif.</w:t>
      </w:r>
    </w:p>
    <w:p>
      <w:r>
        <w:rPr>
          <w:b/>
        </w:rPr>
        <w:t>E. 2</w:t>
      </w:r>
    </w:p>
    <w:p>
      <w:r>
        <w:t>mai 2017/292 et les références citées).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(CREP 2 mai 2017/292 et les références citées).</w:t>
      </w:r>
    </w:p>
    <w:p>
      <w:r>
        <w:rPr>
          <w:b/>
        </w:rPr>
        <w:t>E. 2.1</w:t>
      </w:r>
    </w:p>
    <w:p>
      <w:r>
        <w:t>Le recourant requiert qu’un nouvel avocat, inscrit au barreau genevois, lui soit désigné.</w:t>
      </w:r>
    </w:p>
    <w:p>
      <w:r>
        <w:rPr>
          <w:b/>
        </w:rPr>
        <w:t>E. 2.2.1</w:t>
      </w:r>
    </w:p>
    <w:p>
      <w:r>
        <w:t>En vertu de l'art. 133 al. 2 CPP – applicable par analogie dans la procédure devant le juge d'application des peines ou le collège des juges d'application des peines, celle-ci étant réglée par le CPP (cf. CREP 23 juin 2015/423 consid. 4.2 et les références citées) –, lorsqu'elle nomme le défenseur d'office, la direction de la procédure prend en considération les souhaits du prévenu dans la mesure du possible. Cette disposition concrétise la jurisprudence du Tribunal fédéral et de la Cour européenne des droits de l'homme relative aux art. 29 al. 3 Cst. (Constitution fédérale de la Confédération suisse du 18 avril 1999; RS 101) et 6 par. 3 let. c CEDH (Convention du</w:t>
      </w:r>
    </w:p>
    <w:p>
      <w:r>
        <w:rPr>
          <w:b/>
        </w:rPr>
        <w:t>E. 2.2.2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in : Kuhn/Jeanneret [éd.], Commentaire romand, Code de procédure pénale suisse, Bâle 2011, n. 15 ad art. 134 CPP; Ruckstuhl, in : Niggli/Heer/Wiprächtiger [éd.], Basler Kommentar, Schweizerische Strafprozessordnung, Jugendstrafprozess-ordnung, 2 e éd., Bâle 2014, n. 8 ad art. 134 CPP).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FF 2006 pp. 1057 ss, spéc. p. 1159). Toutefois, le simple fait que la partie assistée n'a pas confiance dans son défenseur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Il appartient au prévenu qui demande le remplacement de son défenseur d’office de rendre vraisemblable les faits sur lesquels il fonde sa demande (CREP 15 août 2018/618 consid. 2.2).</w:t>
      </w:r>
    </w:p>
    <w:p>
      <w:r>
        <w:rPr>
          <w:b/>
        </w:rPr>
        <w:t>E. 2.3</w:t>
      </w:r>
    </w:p>
    <w:p>
      <w:r>
        <w:t>En l’espèce, on ne discerne aucun élément permettant de craindre que la défense du recourant ne soit pas suffisamment efficace en étant assurée par Me Gilles Miauton, qui a de surcroît déjà défendu S.________ dans le cadre d’une autre procédure et qui connaît dès lors le dossier et la situation de l’intéressé. Pour le surplus, on ne voit pas pour quel motif il y aurait lieu de désigner un avocat inscrit au barreau genevois au recourant – qui ne propose de surcroît aucun nom –, alors que celui-ci est détenu dans le canton de Vaud. Celui-ci ne l’explique au demeurant pas, si ce n’est en exposant qu’il entend entamer une procédure de négociation avec l’Etat de Vaud et le Conseil d’Etat concernant le paiement d’indemnités pour « [son] affaire dans l’aviation privée », ce qui n’a toutefois aucun rapport avec la procédure ouverte devant le Juge d’application des peines. Quant aux reproches que l’intéressé élève contre Me Gilles Miauton dans un courrier du 23 juin 2019 qu’il a annexé à son recours, ils ne sont ni concrets, ni étayés. En définitive, S.________ ne fait donc valoir aucun motif intelligible et objectif justifiant la révocation du mandat de Me Gilles Miauton, avocat qui lui a été désigné d’office régulièrement. 3. Au vu de ce qui précède que le recours, manifestement mal fondé, doit être rejeté sans échange d’écritures (art. 390 al. 2 CPP) dans la mesure où il est recevable (cf. consid. 1.3 supra ), et l’ordonnance du 20 juin 2019 confirmée. Les frais de la procédure de recours, constitués en l'espèce de l’émolument d’arrêt, par 660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L’ordonnance du 20 juin 2019 est confirmée. III. Les frais d’arrêt, par 660 fr. (six cent soixante francs), sont mis à la charge d’S.________. IV. L’arrêt est exécutoire. Le président :               Le greffier : Du Le présent arrêt, dont la rédaction a été approuvée à huis clos, est notifié, par l'envoi d'une copie complète, à : - M. S.________, - Me Gilles Miauton (pour S.________), - Ministère public central, et communiqué à : ‑ Mme la Juge d’application des peines, - Mme la Procureure de l’arrondissement de Lausanne,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novembre 1950 de sauvegarde des droits de l'homme et des libertés fondamentales;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(TF 1B_387/2012 du 24 janvier 2013 consid. 4.3; Message du Conseil fédéral du 21 décembre 2005 relatif à l'unification du droit de la procédure [Message], FF 2006 p. 1057, spéc. p. 1159). L'art. 133 al. 2 CPP ne garantit pas au détenu le droit de choisir librement son défenseur d'office. Le droit du prévenu de proposer un avocat d'office ne fonde en effet pas d'obligation pour la direction de la procédure de désigner l'avocat proposé (TF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p.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La direction de la procédure doit, en cas de refus de suivre les souhaits du prévenu, motiver au moins sommairement sa décision (TF 1B_178/2013 du 11 juillet 2013 consid. 2.1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