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529 vom 26. Juni 2019</w:t>
      </w:r>
    </w:p>
    <w:p>
      <w:r>
        <w:t>VD Tribunal cantonal, 2019-06-26, FR</w:t>
      </w:r>
    </w:p>
    <w:p>
      <w:r>
        <w:rPr>
          <w:b/>
        </w:rPr>
        <w:t xml:space="preserve">Quelle: </w:t>
      </w:r>
      <w:r>
        <w:t>https://mcp.opencaselaw.ch/entscheid/vd_findinfo_D_cision___2019___529</w:t>
      </w:r>
    </w:p>
    <w:p>
      <w:r>
        <w:t>FR: VD_FINDINFO Décision / 2019 / 529 du 26 juin 2019</w:t>
      </w:r>
    </w:p>
    <w:p>
      <w:r>
        <w:t>IT: VD_FINDINFO Décision / 2019 / 529 del 26 giugno 2019</w:t>
      </w:r>
    </w:p>
    <w:p>
      <w:pPr>
        <w:pStyle w:val="Heading2"/>
      </w:pPr>
      <w:r>
        <w:t>Regeste</w:t>
      </w:r>
    </w:p>
    <w:p>
      <w:r>
        <w:t>RÉCUSATION, DEMANDE ADRESSÉE À L'AUTORITÉ | 56 let. f CPP (CH)</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X.________ (art. 13 al. 1 LVCPP [loi d’introduction du Code de procédure pénale suisse du 19 mai 2009 ; BLV 312.01]), dans la mesure où celle-ci est dirigée contre un membre du ministère public.</w:t>
      </w:r>
    </w:p>
    <w:p>
      <w:r>
        <w:rPr>
          <w:b/>
        </w:rPr>
        <w:t>E. 2.1</w:t>
      </w:r>
    </w:p>
    <w:p>
      <w:r>
        <w:t>La question de savoir si la requête de récusation a été déposée en temps utile doit être tranchée d'office avant l'examen des moyens invoqués.</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Passé un certain temps, le droit de requérir, éventuellement d'obtenir la récusation est périmé.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Il incombe à la partie qui se prévaut d'un motif de récusation de rendre vraisemblable qu'elle a agi en temps utile, en particulier de rendre vraisemblable le moment de la découverte de ce motif (ATF 140 I 271 consid. 8.4.3 ; TF 1B_502/2018 du 12 novembre 2018 consid. 4 et les références).</w:t>
      </w:r>
    </w:p>
    <w:p>
      <w:r>
        <w:rPr>
          <w:b/>
        </w:rPr>
        <w:t>E. 2.3</w:t>
      </w:r>
    </w:p>
    <w:p>
      <w:r>
        <w:t>En l'espèce, le requérant indique que le Procureur général adjoint R.________ lui a appris, par courriel du 19 juin 2019, que l'enquête concernant sa plainte du 3 juin 2019 lui avait été confiée. La requête de récusation du 21 juin 2019 a par conséquent été déposée en temps utile.</w:t>
      </w:r>
    </w:p>
    <w:p>
      <w:r>
        <w:rPr>
          <w:b/>
        </w:rPr>
        <w:t>E. 3.1</w:t>
      </w:r>
    </w:p>
    <w:p>
      <w:r>
        <w:t>La garantie d'un tribunal indépendant et impartial résultant des art. 30 al. 1 Cst. et 6 par. 1 CEDH – qui ont, de ce point de vue, la même portée –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Cependant, seules les circonstances objectivement constatées doivent être prises en considération ; les impressions purement individuelles d'une des parties au procès ne sont pas décisives. Les motifs de récusation mentionnés à l'art. 56 CPP concrétisent ces garanties. Ils imposent en particulier la récusation d'un magistrat lorsque d'autres motifs, notamment un rapport d'amitié étroit ou d'inimitié avec une partie ou son conseil, sont de nature à le rendre suspect de prévention (let. f). Cette disposition a la portée d'une clause générale recouvrant tous les motifs de récusation non expressément prévus aux lettres a à e de l'art. 56 CPP (TF 1B_78/2019 du 29 avril 2019 consid. 3.1 et les références). Selon la jurisprudence, on ne saurait admettre systématiquement la récusation d'un procureur au motif qu'il aurait déjà rendu dans la même cause une ordonnance de non-entrée en matière ou de classement annulée par l'autorité de recours. En effet,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(TF 1B_385/2016 du 10 janvier 2017 consid. 3.1 et les références).</w:t>
      </w:r>
    </w:p>
    <w:p>
      <w:r>
        <w:rPr>
          <w:b/>
        </w:rPr>
        <w:t>E. 3.2</w:t>
      </w:r>
    </w:p>
    <w:p>
      <w:r>
        <w:t>Aux termes de l'art. 21 LMPu (loi sur le Ministère public du 19 mai 2009 ; BLV 173.21), le secret de l'instruction et l'indépendance du Ministère public sont garantis (al. 1). Le Ministère public est soumis à la surveillance du Conseil d'Etat (al. 2). Le Conseil d'Etat peut lui donner des instructions de portée générale en matière d'administration ou de finances (al. 3). L'activité du Ministère public dans des cas d'espèce n'est pas soumise à la surveillance du Conseil d'Etat. Celui-ci ne peut pas donner d'instructions relatives à l'ouverture, au déroulement ou à la clôture de la procédure, à la représentation de l'accusation devant le tribunal ni au dépôt de recours (al. 4). Le Conseil d'Etat n'a pas accès aux dossiers du Ministère public (al. 5).</w:t>
      </w:r>
    </w:p>
    <w:p>
      <w:r>
        <w:rPr>
          <w:b/>
        </w:rPr>
        <w:t>E. 3.3</w:t>
      </w:r>
    </w:p>
    <w:p>
      <w:r>
        <w:t>En l'espèce, s'agissant de la plainte déposée par le requérant contre le Procureur J.________ pour violation du secret de fonction, on ne voit pas quel motif justifierait la récusation du Procureur général, voire au demeurant celles des autres procureurs du Ministère public central et en particulier celle du Procureur général adjoint R.________. En effet, aucun de ces procureurs n'a la maîtrise de l'ouverture d'une instruction pénale à l'encontre d'un autre procureur, puisque c'est au Conseil d'Etat qu'il appartient d'autoriser l'ouverture d'une telle procédure pour des crimes ou délits commis dans l'exercice direct de leurs fonctions (cf. art. 7 al. 1 CPP ; art. 18 al. 3 LVCPP [loi vaudoise d’introduction du Code de procédure pénale suisse du 19 mai 2009 ; BLV 312.01]), et qu'en l'occurrence, la violation du secret invoquée par le plaignant aurait eu lieu dans l'exercice des fonctions de procureur. De même, aucun des procureurs du Ministère public central n'est compétent pour nommer, le cas échéant, un procureur extraordinaire, cette faculté appartenant également au Conseil d'Etat (art. 18 al. 4 in fine LVCPP). Le fait que le Procureur J.________ fasse partie de la division des affaires économiques du Ministère public central depuis le 1 er juin 2019 n'y change rien. A ce stade, il n'est pas rendu vraisemblable que l'indépendance du Ministère public central est compromise. Quant au Procureur général adjoint R.________, auquel le Procureur général a confié l'enquête, le requérant ne fait valoir aucun motif de récusation contre lui.</w:t>
      </w:r>
    </w:p>
    <w:p>
      <w:r>
        <w:rPr>
          <w:b/>
        </w:rPr>
        <w:t>E. 4</w:t>
      </w:r>
    </w:p>
    <w:p>
      <w:r>
        <w:t>Il résulte de ce qui précède que la demande de récusation présentée le 21 juin 2019 par X.________ à l'encontre du Ministère public central in corpore doit être rejetée. Les frais de procédure, par 660 fr. (art. 20 al. 1 TFIP [tarif des frais de procédure et indemnités en matière pénale du 28 septembre 2010 ; BLV 312.03.1]), seront mis à la charge du requérant conformément à l'art. 59 al. 4 CPP. Par ces motifs, la Chambre des recours pénale prononce : I. La demande de récusation est rejetée. II. Les frais de décision, par 660 fr. (six cent soixante francs), sont mis à la charge de X.________. III. La décision est exécutoire. Le président :              La greffière : Du La présente décision, dont la rédaction a été approuvée à huis clos, est notifiée, par l'envoi d'une copie complète, à : - Me Alain Dubuis, avocat (pour X.________), - Ministère public central, et communiquée à : - M. le Procureur général adjoint,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