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522 vom 15. Mai 2019</w:t>
      </w:r>
    </w:p>
    <w:p>
      <w:r>
        <w:t>VD Tribunal cantonal, 2019-05-15, FR</w:t>
      </w:r>
    </w:p>
    <w:p>
      <w:r>
        <w:rPr>
          <w:b/>
        </w:rPr>
        <w:t xml:space="preserve">Quelle: </w:t>
      </w:r>
      <w:r>
        <w:t>https://mcp.opencaselaw.ch/entscheid/vd_findinfo_D_cision___2019___522</w:t>
      </w:r>
    </w:p>
    <w:p>
      <w:r>
        <w:t>FR: VD_FINDINFO Décision / 2019 / 522 du 15 mai 2019</w:t>
      </w:r>
    </w:p>
    <w:p>
      <w:r>
        <w:t>IT: VD_FINDINFO Décision / 2019 / 522 del 15 maggio 2019</w:t>
      </w:r>
    </w:p>
    <w:p>
      <w:pPr>
        <w:pStyle w:val="Heading2"/>
      </w:pPr>
      <w:r>
        <w:t>Regeste</w:t>
      </w:r>
    </w:p>
    <w:p>
      <w:r>
        <w:t>INTÉRÊT JURIDIQUEMENT PROTÉGÉ, CLASSEMENT DE LA PROCÉDURE, HOMICIDE PAR NÉGLIGENCE, IN DUBIO PRO DURIORE, DROIT D'ÊTRE ENTENDU, PERSONNE PROCHE, APPRÉCIATION DES PREUVES, MOTIVATION DE LA DÉCISION | 117 CP, 318 CPP (CH), 319 al. 1 CPP (CH), 382 al. 1 CPP (CH), 6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Ce recours s’exerce auprès de l’autorité de recours (art. 20 al. 1 let. b CPP) qui est, dans le canton de Vaud, la Chambre des recours pénale du Tribunal cantonal (art. 13 LVCPP [Loi vaudoise d’introduction du Code de procédure pénale suisse ; BLV 312.01] ; art. 80 LOJV [Loi vaudoise d’organisation judiciaire du 12 décembre 1979 ; BLV 173.01]). Le recours doit être adressé par écrit, dans un délai de dix jours, à l’autorité de recours (art. 322 al.</w:t>
      </w:r>
    </w:p>
    <w:p>
      <w:r>
        <w:rPr>
          <w:b/>
        </w:rPr>
        <w:t>E. 1.2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 ATF 126 IV 42 consid. 2a). L’art. 117 al. 3 CPP prévoit toutefois que lorsque les proches de la victime se portent parties civiles, ils jouissent des mêmes droits que la victime. Le proche de la victime est défini aux art. 110 ch. 1 CP (Code pénal suisse du 21 décembre 1937 ; RS 311.0) et 116 al. 2 CPP. Selon l’art. 116 al. 2 CPP, il s’agit notamment du conjoint, des enfants, des père et mère de la victime et des « autres personnes ayant avec elle des liens analogues ». Pour déterminer si la personne en cause peut être assimilée à l’un des proches énumérés par la loi, il faut examiner les circonstances concrètes et l’intensité du lien entretenu avec la victime (TF 1B_137/2015 du 1 er septembre 2015 consid. 2.1) ; c’est le cas en principe d’un concubinage stable, à savoir une communauté de vie d’une certaine durée, voire durable, entre deux personnes, à caractère exclusif, qui présente une composante tant spirituelle que corporelle et économique (ATF 138 III 157 consid. 2.3.3). C’est à la partie qui recourt de démontrer en quoi la décision attaquée viole une règle de droit destinée à protéger ses intérêts et, par conséquent, d’alléguer les faits qui sont propres à fonder sa qualité pour recourir (ATF 144 IV 81 consid. 2.3 ; ATF 141 IV 284 consid. 2.3 ; ATF 141 IV 1 consid. 1.1). Selon l’art. 110 ch. 1 CP, les « proches » d’une personne sont son conjoint, son partenaire enregistré, ses parents en ligne directe, ses frères et sœurs germains, consanguins ou utérins, ainsi que ses parents, frères, sœurs et enfants adoptifs. En l’espèce, le recourant se désigne lui-même dans sa conclusion de partie civile comme le « compagnon » de la défunte (P. 7), de sorte qu’il n’est pas à compter parmi ses « proches » au sens de l’art. 110 ch. 1 CP. Par ailleurs, dans son recours, il n’invoque pas qu’il existait entre lui-même et la victime une relation de concubinage stable, ni par conséquent n’allègue de fait ou n’apporte de preuve permettant de s’en convaincre. La lecture du dossier médical de la victime enseigne au contraire que le compagnonage qu’elle entretenait avec le recourant n’était ni stable, ni durable. La question de savoir s’il peut être considéré comme un proche au sens de l’art. 116 al. 2 CPP et, partant, s’il a qualité pour recourir contre la décision entreprise, étant par ailleurs précisé qu’il n’a pas fait valoir de prétentions civiles propres dans la procédure pénale, peut toutefois rester ouverte en l’espèce, dans la mesure où le recours de A.B.________ doit de toute façon être rejeté pour les motifs développés ci-dessous.</w:t>
      </w:r>
    </w:p>
    <w:p>
      <w:r>
        <w:rPr>
          <w:b/>
        </w:rPr>
        <w:t>E. 2</w:t>
      </w:r>
    </w:p>
    <w:p>
      <w:r>
        <w:t>et 396 al. 1 CPP). En l’espèce, le recours a été interjeté dans le délai légal auprès de l’autorité compétente. Il satisfait en outre aux autres conditions légales (art. 385 al. 1 CPP), de sorte qu’il est recevable en la forme.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4.1.1 et les références citées ; TF 6B_116/2019 du 11 mars 2019 consid. 2.1).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2.2.1</w:t>
      </w:r>
    </w:p>
    <w:p>
      <w:r>
        <w:t>Selon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 TF 6B_170/2017 du 19 octobre 2017 consid. 2.2).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références citées ; TF 6B_1287/2018 du 11 mars 2019 consid. 1.1).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précité ; ATF 135 IV 56 précité). La violation des devoirs de la prudence peut aussi être déduite des principes généraux, si aucune règle spéciale de sécurité n'a été violée (ATF 135 IV 56 précité ; TF 6B_1287/2018 précité). Par ailleurs, la violation du devoir de prudence doit être fautive, c'est-à-dire qu'il faut pouvoir reprocher à l'auteur une inattention ou un manque d'effort blâmable (ATF 135 IV 56 précité ; ATF 134 IV 255 précité et les références citées ; TF 6B_1287/2018 précité).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 TF 6B_1287/2018 précité).</w:t>
      </w:r>
    </w:p>
    <w:p>
      <w:r>
        <w:rPr>
          <w:b/>
        </w:rPr>
        <w:t>E. 2.2.2</w:t>
      </w:r>
    </w:p>
    <w:p>
      <w:r>
        <w:t>L'art. 117 CP suppose un rapport de causalité entre la violation fautive du devoir de prudence et le décès de la victime. Un comportement est la cause naturelle d'un résultat s'il en constitue l'une des conditions sine qua non , c'est-à-dire si, sans lui, le résultat ne se serait pas produit ou du moins pas de la même manière ; il n'est pas nécessaire que l'événement considéré soit la cause unique ou immédiate du résultat (ATF 139 V 176 consid. 8.4.1 et l'arrêt cité). Le rapport de causalité est qualifié d'adéquat lorsque, d'après le cours ordinaire des choses et l'expérience de la vie, le comportement était propre à entraîner un résultat du genre de celui qui s'est produit (ATF 138 IV 57 consid. 4.1.3 et la référence citée).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précité consid. 4.4.1 et les arrêts cités).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et les références citées). La causalité adéquate est ainsi exclue lorsque l'acte attendu n'aurait vraisemblablement pas empêché la survenance du résultat ou lorsqu'il serait simplement possible qu'il l'eût empêché (TF 6B_1287/2018 précité consid. 1.4.1 ; TF 6B_948/2017 du 8 mars 2018 consid. 4.1 ; TF 6B_170/2017 du 19 octobre 2017 consid. 2.2).</w:t>
      </w:r>
    </w:p>
    <w:p>
      <w:r>
        <w:rPr>
          <w:b/>
        </w:rPr>
        <w:t>E. 3.1</w:t>
      </w:r>
    </w:p>
    <w:p>
      <w:r>
        <w:t>Le recourant, invoquant une violation de la maxime de l’instruction (art. 6 CPP), ainsi que de l’art. 318 al. 2 CPP et de son droit d’être entendu, reproche à la Procureure d’avoir rejeté sa réquisition tendant à l’audition du personnel infirmier qui a suivi la défunte durant la nuit et la journée qui ont précédé son décès, ce d’autant plus qu’il ressortirait du dossier que la situation de celle-ci se serait péjorée à compter du jeudi en début d’après-midi, puisqu’une forte augmentation des doses de Dafalgan consommées et une présence accrue d’une soignante à ses côtés durant la nuit du jeudi au vendredi auraient pu être établies. Il lui reproche également d’avoir rejeté sa réquisition tendant à l’audition du personnel médical et infirmier intervenu en urgence le matin du 18 novembre 2016, dans la mesure où il lui paraîtrait normal, voire même logique, de recueillir leurs dépositions en vue notamment de s’assurer que les experts du CURML aient pu se déterminer sur le décès de A.________ en toute connaissance de cause. Enfin, il fait grief à la Procureure de ne pas s’être déterminée sur sa requête tendant à la production des dossiers médicaux de la défunte tels que constitués par son médecin de famille et son médecin gynécologue. Il fait valoir à cet égard que l’absence de détermination de la part de la Procureure justifierait à elle seule l’annulation de l’ordonnance de classement et le renvoi de la cause au Ministère public pour complément d’instruction, et soutient au demeurant qu’il s’agirait d’un élément important en vue de déterminer si les médecins qui ont traité la défunte étaient informés des risques cardiaques auxquels elle était exposée.</w:t>
      </w:r>
    </w:p>
    <w:p>
      <w:r>
        <w:rPr>
          <w:b/>
        </w:rPr>
        <w:t>E. 3.2.1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du Code de procédure pénale, 2 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w:t>
      </w:r>
    </w:p>
    <w:p>
      <w:r>
        <w:rPr>
          <w:b/>
        </w:rPr>
        <w:t>E. 3.2.2.1</w:t>
      </w:r>
    </w:p>
    <w:p>
      <w:r>
        <w:t>Le droit d'être entendu, garanti par l'art. 29 al. 2 Cst. (Constitution fédérale de la Confédération suisse du 18 avril 1999 ; RS 101) et par l'art. 3 al. 2 let. c CPP, confère notamment à toute personne,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6B_1103/2016 du 15 juin 2017 consid. 2.1 ; Bénédict/Treccani, in : Kuhn/Jeanneret [éd.], Commentaire romand, Code de procédure pénale suisse, Bâle 2011, n. 23 ad art. 139 CPP).</w:t>
      </w:r>
    </w:p>
    <w:p>
      <w:r>
        <w:rPr>
          <w:b/>
        </w:rPr>
        <w:t>E. 3.2.2.2</w:t>
      </w:r>
    </w:p>
    <w:p>
      <w:r>
        <w:t>De même, la jurisprudence a déduit du droit d'être entendu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précité consid. 3.1).</w:t>
      </w:r>
    </w:p>
    <w:p>
      <w:r>
        <w:rPr>
          <w:b/>
        </w:rPr>
        <w:t>E. 3.3</w:t>
      </w:r>
    </w:p>
    <w:p>
      <w:r>
        <w:t>S’agissant de la requête visant à l’audition du personnel infirmier qui a suivi feue A.________ durant la nuit et la journée qui ont précédé son décès, les analyses toxicologiques effectuées ont démontré que la dose de Dafalgan ingérée par la défunte se trouvait dans les limites thérapeutiques et rien ne permet de penser que le Dafalgan ingéré puisse être à l’origine d’un malaise cardiaque. Il en va de même en ce qui concerne un éventuel lien de causalité entre l’augmentation des doses de paracétamol et le malaise cardiaque. Quant à l’administration du Dafalgan, que le recourant estime contraire aux règles de l’art en ce sens que la médicalisation consistait à mettre à la disposition des patientes des doses de médicaments en leur laissant la liberté de déterminer si et dans quelle mesure elles pouvaient les consommer, il est notoire qu’une dose journalière d’antalgiques soit laissée à la disposition des patients, qui l’utilisent quand et si ils en ont besoin. En effet, la douleur est ressentie de manière différente selon les individus. Surtout, le rapport d’expertise complémentaire du 28 août 2018 ne relève aucune violation des règles de l’art en relation avec la prescription et l’administration du Dafalgan à la victime. Dès lors, c’est à juste titre que la Procureure a considéré que l’administration du Dafalgan à feue A.________ ne nécessitait pas de mesures d’instruction complémentaires. Enfin, s’agissant de la requête tendant à l’audition de l’infirmière de garde en raison de « sa présence accrue à ses côtés » durant la dernière nuit, qui semblait pour le recourant en contradiction avec le rapport d’autopsie, qui mentionne que les derniers contrôles effectués le 17 novembre 2016 étaient dans les normes et que feue A.________ n’avait pas émis de plainte particulière lorsqu’une infirmière était allée la voir dans sa chambre le 18 novembre 2016 vers 3 h 00, il ressort de la « feuille évolution » du dossier médical de la défunte qu’une soignante avait passé beaucoup de temps auprès d’elle pendant la nuit pour des mises au sein difficiles, que les deux avaient beaucoup parlé, que la patiente n’avait émis aucune plainte de la nuit, hormis de la fatigue, qu’elle n’avait en particulier pas fait état de dyspnée, de douleurs ou de sensations de malaise, et que lorsque la soignante avait quitté la patiente, celle-ci allait bien. Certes, cette mention a été apposée au dossier après le décès de A.________. Toutefois, aucun élément ne permet de la remettre en cause et force est de constater qu’un malaise cardiaque peut effectivement être imprévisible, d’autres affections, notamment une thrombose ou une embolie, qui auraient pu soulever des doutes, ayant de surcroît été expressément exclues par les experts. A cet égard, c’est également à juste titre que la Procureure a rejeté la réquisition du recourant visant à l’audition de l’infirmière de garde. C’est également à juste titre que la Procureure a rejeté la requête du recourant visant à l’audition du personnel médical et infirmier intervenu en urgence le matin du 18 novembre 2016. En effet, il ressort du dossier médical de feue A.________ que les soins de réanimation ont été protocolés quasiment minute par minute sur la « feuille évolution », à savoir à 5 h 26, 5 h 28, 5 h 30, 5 h 31, 5 h 32, 5 h 33, 5 h 35, 5 h 36, 5 h 40, 5 h 41, 5 h 46, 5 h 49 et 5 h 50, puis repris sur la « feuille de suites ». L’on peine en outre à distinguer, et le recourant ne le dit pas, ce que l’audition des intervenants pourrait apporter de plus. Partant, il y a lieu de considérer que les experts ont été suffisamment renseignés sur les opérations de réanimation mises en œuvre, de sorte que la réquisition tendant à l’audition du personnel médical et infirmier intervenu en urgence le matin du 18 novembre 2016 a été rejetée à juste titre. Par ailleurs, s’il est vrai que le Ministère public ne s’est pas déterminé sur la réquisition du recourant tendant à la production des dossiers médicaux de feue A.________ constitués par le médecin de famille et le médecin gynécologue de celle-ci, le recourant a eu la faculté de faire valoir ses moyens devant une autorité de recours disposant d’un plein pouvoir d'examen, et qui peut ainsi contrôler librement la décision attaquée conformément à la jurisprudence fédérale mentionnée ci-dessus, de sorte que ce vice formel est réparé en procédure de recours. A cet égard, le recourant fait valoir que sa requête serait motivée par le fait que la mère et la grand-mère de la défunte seraient décédées au même âge qu’elle dans des circonstances semblables. Il est toutefois apparu que la mère de feue A.________ ne serait pas morte subitement, mais des suites d’une maladie qui aurait duré plus de deux ans. Dès lors, la Cour de céans distingue mal ce que la connaissance du décès subit – et probablement inexpliqué – d’une grand-mère à l’âge de trente ans aurait pu apporter aux médecins qui ont traité la jeune femme à l’hôpital. Au demeurant, le lien de causalité entre le décès et le fait que les soignants de l’Hôpital de [...] n’auraient pas eu connaissance de cette information ou n’en auraient pas tenu compte est inexistant, dans la mesure où tous les paramètres étaient normaux, la patiente devant de surcroît quitter l’hôpital le jour-même. Les médecins n’avaient dès lors aucune raison d’être inquiets, et ce même s’ils avaient eu connaissance du décès subit de la grand-mère de leur patiente, de sorte que la réquisition tendant à la production des dossiers médicaux de feue A.________ doit être rejetée. Enfin, au vu des éléments figurant au dossier, principalement du rapport d’autopsie du 20 mars 2017 et des rapports complémentaires des 19 octobre 2017 et 28 août 2018, c’est à juste titre qu’une ordonnance de classement a été rendue, dans la mesure où l’autopsie conclut à une mort subite de cause indéterminée, étant précisé que les pathologies cardiaques constatées peuvent néanmoins être à l’origine d’un malaise et expliquer le décès. En outre, aucune intervention de tiers n’a été mise en évidence et il est établi que les traitements ont été administrés dans les règles de l’art. Ainsi, aucune violation des règles de l’art médical n’ayant été mise en évidence, une condamnation paraît exclue avec une vraisemblance confinant à la certitude, de sorte que l’ordonnance de classement s’avère parfaitement fondée, aucune mesure d’instruction complémentaire n’étant susceptible de modifier cette appréciation.</w:t>
      </w:r>
    </w:p>
    <w:p>
      <w:r>
        <w:rPr>
          <w:b/>
        </w:rPr>
        <w:t>E. 4</w:t>
      </w:r>
    </w:p>
    <w:p>
      <w:r>
        <w:t>Il résulte de ce qui précède que le recours, manifestement mal fondé, doit être rejeté dans la mesure où il est recevable (cf. consid. 1.2 supra ) sans échange d’écritures (art. 390 al. 2 CPP), et l’ordonnance entreprise confirmée. Les frais de la procédure de recours, constitués en l’espèce du seul émolument d’arrêt, par 1’870 fr. (art. 20 al. 1 TFIP [Tarif des frais de procédure et indemnités en matière pénale du 28 septembre 2010 ; BLV 312.03.1]), seront mis à la charge du recourant, qui succombe (art. 428 al. 1CPP). Par ces motifs, la Chambre des recours pénale prononce : I. Le recours est rejeté dans la mesure où il est recevable. II. L’ordonnance du 22 mars 2019 est confirmée. III. Les frais d’arrêt, par 1’870 fr. (mille huit cent septante francs), sont mis à la charge de A.B.________. IV. L’arrêt est exécutoire. Le président :               La greffière : Du Le présent arrêt, dont la rédaction a été approuvée à huis clos, est notifié, par l'envoi d'une copie complète, à : - Me Joël Crettaz, avocat (pour A.B.________), - Mme E.________, - Me Coralie Germond, avocate (pour B.B.________), - Ministère public central, et communiqué à : ‑ Mme la Procureure de l’arrondissement de l’Est vaudois, - Hôpital de zone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