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509 vom 18. Juni 2019</w:t>
      </w:r>
    </w:p>
    <w:p>
      <w:r>
        <w:t>VD Tribunal cantonal, 2019-06-18, FR</w:t>
      </w:r>
    </w:p>
    <w:p>
      <w:r>
        <w:rPr>
          <w:b/>
        </w:rPr>
        <w:t xml:space="preserve">Quelle: </w:t>
      </w:r>
      <w:r>
        <w:t>https://mcp.opencaselaw.ch/entscheid/vd_findinfo_D_cision___2019___509</w:t>
      </w:r>
    </w:p>
    <w:p>
      <w:r>
        <w:t>FR: VD_FINDINFO Décision / 2019 / 509 du 18 juin 2019</w:t>
      </w:r>
    </w:p>
    <w:p>
      <w:r>
        <w:t>IT: VD_FINDINFO Décision / 2019 / 509 del 18 giugno 2019</w:t>
      </w:r>
    </w:p>
    <w:p>
      <w:pPr>
        <w:pStyle w:val="Heading2"/>
      </w:pPr>
      <w:r>
        <w:t>Regeste</w:t>
      </w:r>
    </w:p>
    <w:p>
      <w:r>
        <w:t>DÉTENTION PROVISOIRE, SOUPÇON, RISQUE DE RÉCIDIVE, RISQUE DE COLLUSION, MESURE DE SUBSTITUTION À LA DÉTENTION | 212 al. 3 CPP (CH), 221 al. 1 let. b CPP (CH),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Le recourant conteste l’existence de soupçons suffisants de culpabilité à son égard. S’il admet une altercation avec son épouse, il conteste les accusations portées par celle-ci. Il estime que, dans le cadre de ses auditions, il aurait exposé de manière constante le déroulement des faits ayant conduit à son interpellation. Par ailleurs, il considère que les faits dénoncés par I.________ ne constitueraient que des lésions corporelles simples et des injures.</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143 lV 330 consid. 2.1 ; ATF 143 IV 316 consid. 3.1).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 bien plutôt, elles doivent uniquement examiner s'il existe, en l’état de l’enquête, des indices sérieux de culpabilité justifiant une telle mesure (ATF 143 IV 330 consid. 2.1 ; ATF 137 IV 122 consid. 3.2 ; ATF 116 la 413 consid. 3c ; TF 1B_202/2018 du 15 mai 2018 consid. 3.1 ; TF 1B_423/2010 du 17 janvier 2011 consid. 4.1).</w:t>
      </w:r>
    </w:p>
    <w:p>
      <w:r>
        <w:rPr>
          <w:b/>
        </w:rPr>
        <w:t>E. 2.3</w:t>
      </w:r>
    </w:p>
    <w:p>
      <w:r>
        <w:t>En l’espèce, dans sa plainte du 10 juin 2019, I.________ a déclaré que le recourant l’avait insultée en la traitant de pute et de connasse, l’avait menacée à plusieurs reprises de la tuer, l’avait empêchée de sortir du logement et d’appeler la police, lui avait donné des coups de poing, à la pommette, dans les côtes et sur les épaules, et l’avait étranglée avec ses deux mains, en serrant fort, jusqu’à ce qu’elle n’arrive plus à parler, à respirer et se « sente partir ». De plus, la plaignante a indiqué qu’elle avait ensuite enduré des douleurs au visage, au cou et à la nuque, et qu’elle n’arrivait pas à lever la tête, ni à déglutir. Contrairement à ce que soutient le recourant, les faits décrits par la plaignante ne sont pas seulement constitutifs de lésions corporelles simples qualifiées et d’injure. En réalité, dans la mesure où l’intéressée a exposé qu’elle s’était « sentie partir », ils impliquent également une mise en danger de la vie de celle-ci. En outre, dès lors que I.________ a, selon elle, été empêchée de disposer librement de ses mouvements, les faits comportent aussi des éléments de contrainte. De surcroît, des menaces entrent en ligne de compte. Ainsi, force est de constater que les soupçons pesant sur le recourant portent sur des délits graves. Par ailleurs, malgré les dénégations de D.________, on relève, à la lecture du rapport d’audition LAVI du 11 juin 2019, que l’enfant J.________ a en grande partie corroboré les accusations délivrées par sa mère, en disant notamment : « mon papa a tapé ma maman, et après il a étranglé ma maman. (…) il a continué à la taper sans s’arrêter (…) » (cf. p. 2). Le recourant a aussi admis avoir donné un coup de poing à sa femme pour se défendre (PV d’audition de police du 10 juin 2019, R5, p. 4) et avait initialement admis, lors de l’intervention de la police du 9 juin 2019, avoir étranglé son épouse en la serrant fortement au cou (rapport d’intervention du 9 juin 2019, p. 4). Enfin, les premiers examens réalisés par le CURML ont permis de constater que la plaignante présentait des dermabrasions et des ecchymoses, lesquelles sont compatibles avec sa version des faits (procès-verbal des opérations, p. 2). Par conséquent, c’est à juste titre que le Tribunal des mesures de contrainte a retenu qu’il existait des soupçons suffisants de culpabilité à l’encontre de D.________.</w:t>
      </w:r>
    </w:p>
    <w:p>
      <w:r>
        <w:rPr>
          <w:b/>
        </w:rPr>
        <w:t>E. 3.1</w:t>
      </w:r>
    </w:p>
    <w:p>
      <w:r>
        <w:t>Le recourant conteste l’existence d’un risque de collusion. Il relève que l’ensemble des actes d’instruction, consistant selon lui en l’audition de son épouse et de son fils, auraient été effectués, de sorte qu’il ne risquerait plus d’influencer quiconque à ce sujet.</w:t>
      </w:r>
    </w:p>
    <w:p>
      <w:r>
        <w:rPr>
          <w:b/>
        </w:rPr>
        <w:t>E. 3.2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1B_243/2018 du 5 juin 2018 consid. 3.1).</w:t>
      </w:r>
    </w:p>
    <w:p>
      <w:r>
        <w:rPr>
          <w:b/>
        </w:rPr>
        <w:t>E. 3.3</w:t>
      </w:r>
    </w:p>
    <w:p>
      <w:r>
        <w:t>En l’espèce, la Procureure a annoncé que la plaignante devait faire l’objet de contrôles médicaux complémentaires, qu’elle attendait les rapports médicaux afin d’évaluer l’intensité de l’étranglement prétendument subi par celle-ci et que cette dernière devait être réentendue dès que possible. Ainsi, outre que l’on se trouve encore au tout début de l’instruction, il est fortement à craindre qu’en cas de libération, D.________ tente de prendre contact avec son épouse afin de la convaincre de retirer sa plainte et de changer sa version des faits ou avec son fils afin de l’influencer dans le but de faire modifier ses déclarations. Le recourant est donc toujours susceptible de compromettre ou d’entraver la recherche de la vérité. Partant, le risque de collusion reste concret.</w:t>
      </w:r>
    </w:p>
    <w:p>
      <w:r>
        <w:rPr>
          <w:b/>
        </w:rPr>
        <w:t>E. 4.1</w:t>
      </w:r>
    </w:p>
    <w:p>
      <w:r>
        <w:t>Le recourant conteste l’existence d’un risque de réitération. Il fait valoir, d’une part, qu’il a un casier judiciaire vierge et qu’il n’aurait jamais eu de problèmes avec ses deux femmes précédentes et, d’autre part, qu’il aurait la possibilité d’aller habiter chez un ami disposé à l’accueillir.</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rigueur des conditions pour admettre un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w:t>
      </w:r>
    </w:p>
    <w:p>
      <w:r>
        <w:rPr>
          <w:b/>
        </w:rPr>
        <w:t>E. 4.3</w:t>
      </w:r>
    </w:p>
    <w:p>
      <w:r>
        <w:t>En l’espèce, comme l’a relevé le Tribunal des mesures de contrainte, il n’est pas déterminant que le recourant n’ait pas d’antécédent à son casier judiciaire. En effet, en parallèle de la présente affaire, l’intéressé fait l’objet d’une autre procédure pénale portant sur de précédentes violences domestiques, dans le cadre de laquelle un avis de prochaine condamnation pour avoir notamment frappé sa femme et menacé celle-ci avec un couteau de cuisine a été rendu le 19 février 2019 à son encontre. Or, malgré le fait que cette procédure était en cours et que la police est intervenue à tout le moins déjà à deux reprises au domicile conjugal (procès-verbal des opérations, procédure PE18.019473, pp. 2-3), D.________ paraît avoir non seulement commis de nouveaux actes de violence à l’égard de son épouse, mais aussi à l’encontre de son fils. Il n’a par conséquent pas su se remettre en question ni prendre conscience de la gravité de ses agissements. De plus, les actes qui sont reprochés aujourd’hui au prévenu sont plus graves que les précédents, de sorte que l’on constate une intensification de son activité délictuelle. Dans ces conditions, D.________ présente bel et bien un risque de réitération.</w:t>
      </w:r>
    </w:p>
    <w:p>
      <w:r>
        <w:rPr>
          <w:b/>
        </w:rPr>
        <w:t>E. 5.1</w:t>
      </w:r>
    </w:p>
    <w:p>
      <w:r>
        <w:t>Le recourant demande la mise en œuvre de mesures de substitution, à savoir qu’interdiction lui soit faite de se rendre au domicile conjugale et d’entrer en contact avec son épouse et son fils.</w:t>
      </w:r>
    </w:p>
    <w:p>
      <w:r>
        <w:rPr>
          <w:b/>
        </w:rPr>
        <w:t>E. 5.2</w:t>
      </w:r>
    </w:p>
    <w:p>
      <w:r>
        <w:t>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rPr>
          <w:b/>
        </w:rPr>
        <w:t>E. 5.3</w:t>
      </w:r>
    </w:p>
    <w:p>
      <w:r>
        <w:t>En l’occurrence, force est de constater que les mesures proposées par le recourant ne sont, à ce stade, pas propres à pallier efficacement les risques de collusion et de réitération constatés et qu’aucune autre mesure de substitution n’est susceptible de les prévenir valablement. En effet, d’une part, un simple engagement de sa part doublé d’une interdiction formelle de prendre contact ou d’entretenir des relations avec son épouse et son fils ne sont pas suffisants pour empêcher réellement le recourant de rencontrer ceux-ci et d’influencer leurs déclarations. D’autre part, s’il allègue pouvoir loger chez un ami, il ne fournit aucune attestation permettant d’établir que ce dernier serait disposé l’accueillir. A toutes fins utiles, on relève que D.________ n’a pas non plus établi par pièces qu’un droit de visite médiatisé puisse être mis en place afin de maintenir des relations personnelles avec son fils. Par ailleurs, vu la gravité des faits reprochés et les menaces faites à la plaignante, il convient, en tout cas à ce stade de l’enquête, de faire preuve de la plus grande prudence.</w:t>
      </w:r>
    </w:p>
    <w:p>
      <w:r>
        <w:rPr>
          <w:b/>
        </w:rPr>
        <w:t>E. 6</w:t>
      </w:r>
    </w:p>
    <w:p>
      <w:r>
        <w:t>Au regard de la gravité des accusations portées contre lui, constitutives, à ce stade, de mise en danger de la vie d’autrui, de contrainte, de lésions corporelles simples qualifiées, de menaces qualifiées et d’injure, le recourant s’expose concrètement à une peine privative de liberté nettement plus importante que la période de détention provisoire qu’il aura subie le 9 septembre 2019. Partant, le principe de la proportionnalité est respecté (art. 212 al. 3 CPP).</w:t>
      </w:r>
    </w:p>
    <w:p>
      <w:r>
        <w:rPr>
          <w:b/>
        </w:rPr>
        <w:t>E. 7</w:t>
      </w:r>
    </w:p>
    <w:p>
      <w:r>
        <w:t>En définitive, le recours, manifestement mal fondé, doit être rejeté sans échange d'écritures (art. 390 al. 2 CPP) et l'ordonnance attaquée confirmée. Les frais de la procédure de recours, constitué de l’émolument d’arrêt, par 1’210 fr. (art. 20 al. 1 TFIP [tarif des frais de procédure et indemnités en matière pénale du 28 septembre 2010 ; BLV 312.03.1]), ainsi que des frais imputables à la défense d’office (art. 422 al. 1 et 2 let. a CPP), fixés à 395 fr. 45, qui comprennent des honoraires par 360 fr., des débours forfaitaires par 7 fr. 20 (cf. art. 26b TFIP, qui renvoie à l'art. 3bis RAJ [règlement sur l’assistance judiciaire en matière civile du 7 décembre 2010 ; BLV 211.02.3]) et la TVA sur le tout, au taux de 7,7%, par 28 fr. 25,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12 juin 2019 est confirmée. III. L’indemnité allouée au défenseur d’office de D.________ est fixée à 395 fr. 45 (trois cent nonante-cinq francs et quarante-cinq centimes). IV. Les frais d’arrêt, par 1’210 fr. (mille deux cent dix francs), ainsi que l’indemnité due au défenseur d’office de D.________, par 395 fr. 45 (trois cent nonante-cinq francs et quarante-cinq centimes), sont mis à la charge de ce dernier. V. Le remboursement à l'Etat de l'indemnité allouée au chiffre III ci-dessus ne sera exigible que pour autant que la situation financière de D.________ le permette. VI. L’arrêt est exécutoire. Le président :               Le greffier : Du Le présent arrêt, dont la rédaction a été approuvée à huis clos, est notifié, par l'envoi d'une copie complète, à : - Me Amir Djafarrian, avocat (pour D.________), - Ministère public central, et communiqué à : - Mme la Présidente du Tribunal des mesures de contrainte, - Mme la Procureure de l’arrondissement de Lausanne, - Mme I.________,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