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507 vom 18. Juni 2019</w:t>
      </w:r>
    </w:p>
    <w:p>
      <w:r>
        <w:t>VD Tribunal cantonal, 2019-06-18, FR</w:t>
      </w:r>
    </w:p>
    <w:p>
      <w:r>
        <w:rPr>
          <w:b/>
        </w:rPr>
        <w:t xml:space="preserve">Quelle: </w:t>
      </w:r>
      <w:r>
        <w:t>https://mcp.opencaselaw.ch/entscheid/vd_findinfo_D_cision___2019___507</w:t>
      </w:r>
    </w:p>
    <w:p>
      <w:r>
        <w:t>FR: VD_FINDINFO Décision / 2019 / 507 du 18 juin 2019</w:t>
      </w:r>
    </w:p>
    <w:p>
      <w:r>
        <w:t>IT: VD_FINDINFO Décision / 2019 / 507 del 18 giugno 2019</w:t>
      </w:r>
    </w:p>
    <w:p>
      <w:pPr>
        <w:pStyle w:val="Heading2"/>
      </w:pPr>
      <w:r>
        <w:t>Regeste</w:t>
      </w:r>
    </w:p>
    <w:p>
      <w:r>
        <w:t>RISQUE DE COLLUSION, RISQUE DE RÉCIDIVE | 221 al. 1 let. b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d’organisation judiciaire du 12 décembre 1979; BLV 173.01]). Conformément à l’art. 91 al. 4 CPP, le mémoire est réputé déposé en temps utile devant l’autorité de recours s’il est parvenu dans le délai à une autorité suisse incompétente, qui a le devoir de le transmettre sans retard à l’autorité compétente. En l’espèce,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respectivement le maintien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2.3</w:t>
      </w:r>
    </w:p>
    <w:p>
      <w:r>
        <w:t>En l’espèce, le recourant ne conteste à juste titre pas l’existence de soupçons suffisants à son encontre (cf. recours, p. 5), que le Tribunal des mesures de contrainte a retenus du fait que l'agent de police déplacé sur les lieux de l'événement l’avait identifié comme l'auteur de l'incendie sur l’enregistrement vidéo tourné par un témoin alors que le prévenu boutait le feu à une bâche en plastique d'un abri situé dans le jardin devant l'immeuble de [...] à Coppet. Du reste, le prévenu a finalement reconnu avoir mis le feu à l'abri de fortune appartenant à [...]. Il a expliqué avoir eu un différend avec ce dernier et avoir dès lors voulu se venger sans avoir réfléchi à l'acte qu'il commettait, qui serait « venu comme ça » (sic) (PV aud. 3, Iigne 103). De surcroît, le prévenu était tout d'abord passé à son domicile pour se munir de son déodorant, ce qui démontre qu'il n'avait pas uniquement l'intention de faire un trou dans la bâche du lésé comme il l’avait initialement soutenu.</w:t>
      </w:r>
    </w:p>
    <w:p>
      <w:r>
        <w:rPr>
          <w:b/>
        </w:rPr>
        <w:t>E. 3.1</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3.2</w:t>
      </w:r>
    </w:p>
    <w:p>
      <w:r>
        <w:t>Renonçant à examiner le danger de fuite également invoqué par le Ministère public, le Tribunal des mesures de contrainte a retenu les risques de collusion et de réitération de délits graves. Quant au risque de collusion, l’autorité s’est fondée d’abord sur le fait que le prévenu avait initialement nié toute infraction; ce n’était qu’après que la police lui avait fait comprendre à plusieurs reprises que des éléments le compromettaient formellement qu’il avait admis être l’auteur de l'incendie perpétré à Coppet. Le tribunal a ajouté qu’il n'était pas exclu que l'intéressé soit l'auteur d'autres incendies commis depuis le début de l’année dans la région de La Côte, quand bien même aucun élément permettant de l'accabler à raison de ces actes ne figurait pour l'heure au dossier. Vu les dénégations initiales du prévenu, on ne pouvait pas se contenter de ses déclarations pour considérer qu'il s'était entièrement expliqué quant à son activité délictueuse. Enfin, il ressortait de la demande du Ministère public que l'intéressé pourrait également être impliqué dans deux cas de déprédations commis sur des véhicules dans un parking souterrain entre le 4 et le 5 mai 2019, à Coppet également. En effet, ses empreintes digitales auraient été mises en évidence sur ces lieux. Le prévenu n'était donc, toujours de l’avis du premier juge, pas des plus collaborants; libéré, il serait susceptible d'entraver l'instruction en faisant disparaître d'éventuelles preuves à charge ou d'influencer des témoins éventuels pouvant l'accabler.</w:t>
      </w:r>
    </w:p>
    <w:p>
      <w:r>
        <w:rPr>
          <w:b/>
        </w:rPr>
        <w:t>E. 3.3</w:t>
      </w:r>
    </w:p>
    <w:p>
      <w:r>
        <w:t>Contrairement à ce que soutient le recourant (recours, p. 5-6), le Tribunal des mesures de contrainte pouvait retenir à bon droit qu’il n’était pas des plus collaborants, puisqu’il a initialement nié toute infraction; il n’a reconnu être l’auteur de l'incendie perpétré à Coppet qu’après que la police lui avait fait comprendre à plusieurs reprises que des éléments le compromettaient. En outre, le fait qu’un incendie ait été perpétré dans la région de La Côte le 9 juin 2019, soit alors que le prévenu était incarcéré, n’exclut nullement que le recourant soit l'auteur d'autres incendies commis depuis le début de l’année antérieurement dans cette même région. Il convient que le Ministère public instruise rapidement ce point, et tel est du reste le motif pour lequel le Tribunal des mesures de contrainte a limité la détention provisoire du recourant à un mois, alors que le Ministère public la demandait pour trois mois. Les investigations portant sur les autres incendies doivent être menées sans que le prévenu puisse interférer dans la recherche de la vérité en faisant disparaître d'éventuelles preuves à charge ou en influençant des témoins éventuels pouvant l'accabler. De plus, le recourant ne conteste pas la motivation de l’ordonnance selon laquelle il pourrait également être impliqué dans deux cas de déprédations commis sur des véhicules dans un parking souterrain entre le 4 et le 5 mai 2019, à Coppet également, dans la mesure où ses empreintes digitales paraissent avoir été mises en évidence sur ces lieux. Le risque de collusion est donc concret et justifie la détention provisoire.</w:t>
      </w:r>
    </w:p>
    <w:p>
      <w:r>
        <w:rPr>
          <w:b/>
        </w:rPr>
        <w:t>E. 4.1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2.8).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w:t>
      </w:r>
    </w:p>
    <w:p>
      <w:r>
        <w:rPr>
          <w:b/>
        </w:rPr>
        <w:t>E. 4.2</w:t>
      </w:r>
    </w:p>
    <w:p>
      <w:r>
        <w:t>En l’espèce, le Tribunal des mesures de contrainte a retenu l’existence d’un risque de réitération, motifs pris des antécédents du prévenu et du fait que plusieurs actes de déprédations ou de violence devaient lui être reprochés. En outre, l’expertise psychiatrique déposée le 8 avril 2019 concluait notamment à un risque de récidive de conduites violentes tenu pour moyen à élevé, le prévenu présentant un trouble de la personnalité à traits émotionnellement labiles et immatures, ainsi qu'une dépendance à l'alcool et au cannabis. Or, nonobstant cette expertise, le prévenu n'avait rien entrepris pour surmonter ses impulsions, hormis de l'hypnothérapie durant quelques semaines. De surcroît, il semblait incapable d'expliquer pour quel motif, alors même qu'il était pompier volontaire et se disait très attaché à cette activité, il avait délibérément bouté le feu au bien d'un tiers de sa connaissance pour se venger de lui. Le risque de réitération présenté par le prévenu nécessitait ainsi, toujours de l’avis du premier juge, que l’intéressé soit, en l'état, privé de sa liberté dans l'intérêt de la sécurité d'autrui.</w:t>
      </w:r>
    </w:p>
    <w:p>
      <w:r>
        <w:rPr>
          <w:b/>
        </w:rPr>
        <w:t>E. 4.3</w:t>
      </w:r>
    </w:p>
    <w:p>
      <w:r>
        <w:t>L’existence d’un risque de collusion dispense en soi d’examiner le risque de réitération, les conditions posées par l'art. 221 CPP étant alternatives et non cumulatives (TF 1B_242/2016 du 21 juillet 2016 consid. 5). Toutefois, avec le premier juge, la Cour de céans constate que le recourant n'est pas inconnu des autorités pénales et que plusieurs actes de déprédations ou de violence doivent lui être reprochés. Surtout, il est soupçonné, avec une probabilité confinant à la certitude, d’avoir commis un incendie intentionnel, qui est un délit grave, passible d’une peine privative de liberté d’un an au moins (art. 221 al. 1 CP) et compromettant sérieusement la sécurité d’autrui au sens de l’art. 221 al. 1 let. c CPP. Etant rappelé que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mais doivent uniquement examiner s'il existe, en l’état de l’enquête, des indices sérieux de culpabilité justifiant une telle mesure (ATF 143 IV 330 consid. 2.1; ATF 137 IV 122 consid. 3.2; ATF 116 la 413 consid. 3c; TF 1B_202/2018 du 15 mai 2018 consid. 3.1; TF 1B_423/2010 du 17 janvier 2011 consid. 4.1), c’est en vain que le recourant soutient, à ce stade de la procédure, qu’il ne se serait rendu coupable que de dommages à la propriété (recours, p. 7). En outre, l’expertise psychiatrique déposée 8 avril 2019 dans l'autre enquête pendante met en évidence notamment un risque de récidive de conduites violentes tenu pour moyen à élevé, le prévenu présentant un trouble de la personnalité à traits émotionnellement labiles et immatures, ainsi qu'une dépendance à l'alcool et au cannabis. Ces facteurs sont de mauvais pronostic. Le risque que le prévenu commette de nouveaux actes compromettant sérieusement la sécurité publique, s’agissant en particulier d’incendies volontaires, apparaît significatif. C’est donc à juste titre que le Tribunal des mesures a retenu l’existence d’un risque de récidive, contrairement à ce que soutient le recourant (recours, p. 6-7).</w:t>
      </w:r>
    </w:p>
    <w:p>
      <w:r>
        <w:rPr>
          <w:b/>
        </w:rPr>
        <w:t>E. 5.1</w:t>
      </w:r>
    </w:p>
    <w:p>
      <w:r>
        <w:t>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5.2</w:t>
      </w:r>
    </w:p>
    <w:p>
      <w:r>
        <w:t>En l’espèce, le Tribunal des mesures de contrainte a estimé que des mesures de substitution n’entraient pas en considération. Il a d’abord constaté que le rapport d'expertise psychiatrique du 8 avril 2019 préconisait une prise en charge ambulatoire intégrée comportant un suivi d'addictologie, cet avis indiquant également que, le prévenu peinant de lui-même à respecter un cadre et à se rendre à ses rendez-vous, une injonction de soins ambulatoire pourrait s'avérer utile. Le premier juge a ensuite considéré qu’en l'état, cette mesure de substitution était totalement insuffisante pour prévenir le risque de collusion retenu. Il a ajouté que, si une telle mesure devait être ordonnée, il y aurait de toute manière lieu de documenter la procédure à cet égard, notamment par la production d'une attestation de prise en charge ambulatoire régulière.</w:t>
      </w:r>
    </w:p>
    <w:p>
      <w:r>
        <w:rPr>
          <w:b/>
        </w:rPr>
        <w:t>E. 5.3</w:t>
      </w:r>
    </w:p>
    <w:p>
      <w:r>
        <w:t>Cette appréciation ne peut qu’être confirmée, quoi qu’en dise le recourant (recours, p. 8). Celui-ci se contente en effet de proposer un traitement ambulatoire, qu’il tient pour à même de réduire le risque de récidive. Toutefois, une telle mesure n’apparaît pas suffisante en l’espèce, pour les motifs exposés par le premier juge. Ainsi, elle ne saurait juguler le risque de réitération, s’agissant d’un prévenu qui, à dires d’expert, présente un trouble de la personnalité, à traits émotionnellement labiles et immatures, avec propension à la violence. L’incendie volontaire perpétré dans la nuit du 3 au 4 juin 2019 confirme a posteriori cette appréciation, s’agissant singulièrement d’actes pyromaniaques. Au demeurant, la mesure de substitution proposée ne serait en rien susceptible de prévenir le risque de collusion, ce qui commande de l’écarter pour ce motif déjà.</w:t>
      </w:r>
    </w:p>
    <w:p>
      <w:r>
        <w:rPr>
          <w:b/>
        </w:rPr>
        <w:t>E. 6</w:t>
      </w:r>
    </w:p>
    <w:p>
      <w:r>
        <w:t>Il résulte de ce qui précède que le recours, manifestement mal fondé, doit être rejeté sans autres échanges d’écritures (art. 390 al. 2 CPP) et l’ordonnance du 7 juin 2019 confirmée. Les frais de la procédure de recours, par 1’210 fr. (art. 20 al. 1 TFIP [tarif des frais de procédure et indemnités en matière pénale du 28 septembre 2010; BLV 312.03.1]), ainsi que les frais imputables à la défense d’office (art. 422 al. 1 et 2 let. a CPP), fixés à 593 fr. 20, qui comprennent des honoraires par 540 fr., des débours forfaitaires par 10 fr. 80 (cf. art. 26b TFIP qui renvoie à l'art. 3 bis RAJ [règlement sur l’assistance judiciaire en matière civile du 7 décembre 2010; BLV 211.02.3], en vigueur dès le 1 er mai 2019)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7 juin 2019 est confirmée. III. L’indemnité allouée au défenseur d’office de X.________ est fixée à 593 fr. 20 (cinq cent nonante-trois francs et vingt centimes). IV. Les frais d’arrêt, par 1’210 fr. (mille deux cent dix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financière de X.________ le permette. VI. L’arrêt est exécutoire. Le président :               Le greffier : Du Le présent arrêt, dont la rédaction a été approuvée à huis clos, est notifié, par l'envoi d'une copie complète, à : - Me Mathilde Bessonnet, avocate (pour X.________), - Ministère public central, et communiqué à : - Mme la Présidente du Tribunal des mesures de contrainte, - Mme la Procureure de l’arrondissement de La Côte, - Zone carcérale du Centre de la Blécherette,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