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491 vom 15. Mai 2019</w:t>
      </w:r>
    </w:p>
    <w:p>
      <w:r>
        <w:t>VD Tribunal cantonal, 2019-05-15, FR</w:t>
      </w:r>
    </w:p>
    <w:p>
      <w:r>
        <w:rPr>
          <w:b/>
        </w:rPr>
        <w:t xml:space="preserve">Quelle: </w:t>
      </w:r>
      <w:r>
        <w:t>https://mcp.opencaselaw.ch/entscheid/vd_findinfo_D_cision___2019___491</w:t>
      </w:r>
    </w:p>
    <w:p>
      <w:r>
        <w:t>FR: VD_FINDINFO Décision / 2019 / 491 du 15 mai 2019</w:t>
      </w:r>
    </w:p>
    <w:p>
      <w:r>
        <w:t>IT: VD_FINDINFO Décision / 2019 / 491 del 15 maggio 2019</w:t>
      </w:r>
    </w:p>
    <w:p>
      <w:pPr>
        <w:pStyle w:val="Heading2"/>
      </w:pPr>
      <w:r>
        <w:t>Regeste</w:t>
      </w:r>
    </w:p>
    <w:p>
      <w:r>
        <w:t>NON-LIEU, DÉCISION D'IRRECEVABILITÉ, GESTION DÉLOYALE, PLAIGNANT | 158 CP, 118 al. 1 CPP (CH),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dans le canton de Vaud, est la Chambre des recours pénale du Tribunal cantonal (art. 13 LVCPP [Loi d’introduction du Code de procédure pénale suisse du 19 mai 2009 ; BLV 312.01] ; art. 80 LOJV [Loi d'organisation judiciaire du 12 septembre 1979 ; BLV 173.01]). Interjeté en temps utile et dans les formes prescrites (art. 385 al. 1 CPP) auprès de l’autorité compétente, le recours est formellement recevable, sous réserve de la qualité de partie plaignante de la recourante, qui sera examinée sous chiffre 2 infra .</w:t>
      </w:r>
    </w:p>
    <w:p>
      <w:r>
        <w:rPr>
          <w:b/>
        </w:rPr>
        <w:t>E. 2</w:t>
      </w:r>
    </w:p>
    <w:p>
      <w:r>
        <w:t>La recourante fait grief au Ministère public d’avoir violé le principe in dubio pro duriore en retenant que M.________ n’avait pas de devoir de gestion des intérêts patrimoniaux de T.________ SA et que celle-ci n’avait subi aucun dommage du fait du comportement reproché.</w:t>
      </w:r>
    </w:p>
    <w:p>
      <w:r>
        <w:rPr>
          <w:b/>
        </w:rPr>
        <w:t>E. 2.1</w:t>
      </w:r>
    </w:p>
    <w:p>
      <w:r>
        <w:t>Conformément à l'art. 310 al. 1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w:t>
      </w:r>
    </w:p>
    <w:p>
      <w:r>
        <w:t>Se rend coupable de gestion déloyale, au sens de l'art. 158 ch. 1 al. 1 CP (Code pénal suisse du 21 décembre 1937 ; RS 311.0), celui qui, tenu en vertu de la loi, d'un mandat officiel ou d'un acte juridique, de gérer les intérêts pécuniaires d'autrui ou de veiller sur leur gestion et qui, en violation de ses devoirs, aura porté atteinte à ces intérêts ou aura permis qu'ils soient lésés. Il y a gestion déloyale aggravée si l’auteur se rend coupable de gestion déloyale dans le dessein de se procurer ou de procurer à un tiers un enrichissement illégitime (art. 158 ch. 1 al. 3 CP). Cette infraction suppose la réunion de quatre conditions : il faut que l'auteur ait eu un devoir de gestion ou de sauvegarde, qu'il ait violé une obligation lui incombant en cette qualité, qu'il en soit résulté un préjudice et qu'il ait agi intentionnellement (les conditions étant identiques que sous l'empire de l'art. 159 aCP, la jurisprudence y relative reste pertinente : ATF 120 IV 190 consid. 2b). Le devoir de gestion implique que l'auteur occupe une position de gérant. Seul peut avoir une telle position celui qui dispose d'une indépendance suffisante et qui jouit d'un pouvoir de disposition autonome sur les biens qui lui sont remis (ATF 129 IV 124 consid. 3.1 ; ATF 123 IV 17 consid. 3b ; ATF 120 IV 190 consid. 2b).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(ATF 123 IV 17 consid. 3b ; ATF 120 IV 190 consid. 2b). Pour qu'il y ait gestion déloyale, il ne suffit pas que l'auteur ait été gérant, ni qu'il ait violé une quelconque obligation de nature pécuniaire à l'endroit de la personne dont il gère tout ou partie du patrimoine ; le terme de gestion déloyale et la définition légale de l'infraction exigent que l'obligation qu'il a violée soit liée à la gestion confiée (ATF 120 IV 190 consid. 2b ; ATF 105 IV 307 consid. 3).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 la loi, mais aussi des statuts, des règlements ou des décisions de l'assemblée générale pour ce qui est d'une société anonyme (TF 6B_211/2012 du 7 septembre 2012 consid. 3 ; TF 6B_473/2011 du 13 octobre 2011 consid. 1.2.2 ; TF 6B_223/2010 du 13 janvier 2011 consid. 3.3.2 ; TF 6B_66/2008 du 9 mai 2008 consid. 6.3.3). L’infraction de gestion déloyale n’est consommée que s’il y a eu un dommage patrimonial. Ce préjudice doit être en rapport de causalité avec la violation des devoirs (Corboz, Les infractions en droit suisse, vol. I, 3 e éd., Berne 2010, n. 10 ad art. 158 CP).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Un préjudice temporaire suffit (ATF 122 IV 279 consid. 2a ; ATF 121 IV 104 consid. 2c ; ATF 120 IV 122 consid. 6b/bb). Il n’est pas nécessaire que le dommage corresponde à l’enrichissement de l’auteur, ni qu’il soit chiffré ; il suffit qu’il soit certain (ATF 123 IV 17 consid. 3d). L’intention de l’auteur doit par ailleurs aussi porter sur ce dommage (Dupuis et al. [éd.], Petit commentaire, Code pénal, 2 e éd., Bâle 2017, n. 41 à 44 ad art. 138 CP et n. 29 ad art. 158 CP, ainsi que les réf. citées).</w:t>
      </w:r>
    </w:p>
    <w:p>
      <w:r>
        <w:rPr>
          <w:b/>
        </w:rPr>
        <w:t>E. 2.3</w:t>
      </w:r>
    </w:p>
    <w:p>
      <w:r>
        <w:t>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Le lésé est celui dont les droits ont été touchés directement par une infraction (art. 115 al. 1 CPP). L'art. 115 al. 2 CPP prévoit en outre que sont considérées comme des lésés les personnes qui ont qualité pour déposer plainte pénale ; tel est le cas notamment des représentants légaux, des héritiers du lésé, ainsi que des autorités et organisations habilitées à porter plainte, soit des personnes qui ne sont pas directement ou personnellement touchées par l'infraction. En règle générale, seul peut se prévaloir d'une atteinte directe le titulaire du bien juridique protégé par la disposition pénale qui a été enfreinte. Les droits touchés sont les biens juridiques individuels tels que la vie et l'intégrité corporelle, la propriété, l'honneur, etc. Celui qui prétend à la qualité de partie plaignante doit rendre vraisemblable le préjudice subi et doit en outre démontrer le rapport de causalité entre son dommage et l'infraction poursuivie (ATF 141 IV 1 consid. 3.1 ; TF 1B_372/2016 du 17 janvier 2017 consid. 3.1). La jurisprudence a de plus précisé que lors d'infractions contre le patrimoine, le propriétaire des valeurs patrimoniales lésées est considéré comme la personne lésée. Il en résulte notamment que,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 TF 1B_372/2016 du 17 janvier 2017 consid. 3.1 ; TF 6B_1315/2015 du 9 août 2016 consid. 1.2.1 et les arrêts cités). La qualité d'ayant droit économique ne fonde donc pas un intérêt juridiquement protégé, respectivement la qualité de partie plaignante (TF 6B_1207/2013 du 14 mai 2014 consid. 3.1.1 et 3.1.2 et les arrêts cités).</w:t>
      </w:r>
    </w:p>
    <w:p>
      <w:r>
        <w:rPr>
          <w:b/>
        </w:rPr>
        <w:t>E. 2.4</w:t>
      </w:r>
    </w:p>
    <w:p>
      <w:r>
        <w:t>En l’espèce et contrairement à ce que soutient la recourante, les règles contenues dans la convention d’actionnaires du 18 mars 2016 ne sauraient être interprétées en ce sens que M.________ se soit vu confier la défense des intérêts patrimoniaux liés à la qualité d’actionnaire de T.________ SA. Cette convention ne lui confère pas non plus un pouvoir de disposition autonome sur les biens qui lui sont remis. M.________ est en réalité tenu par un devoir de gestion et de sauvegarde des intérêts de la société C.________ SA. Il doit ainsi gérer les biens confiés dans l’intérêt de cette société, et non dans l’intérêt de l’un des actionnaires de celle-ci. Seule C.________ SA peut dès lors être lésée par une violation des devoirs confiés à M.________, les actionnaires ne pouvant le cas échéant subir qu’un dommage indirect et n’ayant ainsi pas la qualité de lésé, ni donc celle de partie plaignante. Ces règles ne peuvent pas être contournées par la conclusion d’une convention d’actionnaires, qui n’ouvre à l’actionnaire qu’une action sur le plan civil. L’ordonnance attaquée échappe ainsi à la critique en tant que le Ministère public a constaté que la recourante n’avait pas la qualité de lésée s’agissant des faits qu’elle reprochait à M.________. Force est en effet de constater que T.________ SA ne subit aucun dommage direct, en sa qualité d’actionnaire, du fait de la manière dont M.________ gère C.________ SA. La convention d’actionnaires ne peut au demeurant pas lui conférer la qualité de lésée, ni lui permettre de se prévaloir d’un dommage direct. Pour ces motifs, la recourante n’a pas la qualité de partie plaignante ni donc la qualité pour recourir, de sorte que son recours se révèle irrecevable.</w:t>
      </w:r>
    </w:p>
    <w:p>
      <w:r>
        <w:rPr>
          <w:b/>
        </w:rPr>
        <w:t>E. 3</w:t>
      </w:r>
    </w:p>
    <w:p>
      <w:r>
        <w:t>Il résulte de ce qui précède que le recours doit être déclaré irrecevable, sans échange d’écritures (art. 390 al. 2 CPP). Les frais de la procédure de recours, constitués en l'espèce du seul émolument d'arrêt (art. 422 al. 1 CPP), par 880 fr. (art. 20 al. 1 TFIP [Tarif des frais de procédure et indemnités en matière pénale du 28 septembre 2010 ; BLV 312.03.1]), seront mis à la charge de la recourante, qui doit être considérée comme ayant succombé (art. 428 al. 1, 2 e phrase, CPP). Par ces motifs, la Chambre des recours pénale prononce : I. Le recours est irrecevable. II. Les frais d’arrêt, par 880 fr. (huit cent huitante francs), sont mis à la charge de T.________ SA. III. L’arrêt est exécutoire. Le président : La greffière : Du Le présent arrêt, dont la rédaction a été approuvée à huis clos, est notifié, par l'envoi d'une copie complète, à : - Me Alain Dubuis, avocat (pour T.________ SA),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