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488 vom 13. Juni 2019</w:t>
      </w:r>
    </w:p>
    <w:p>
      <w:r>
        <w:t>VD Tribunal cantonal, 2019-06-13, FR</w:t>
      </w:r>
    </w:p>
    <w:p>
      <w:r>
        <w:rPr>
          <w:b/>
        </w:rPr>
        <w:t xml:space="preserve">Quelle: </w:t>
      </w:r>
      <w:r>
        <w:t>https://mcp.opencaselaw.ch/entscheid/vd_findinfo_D_cision___2019___488</w:t>
      </w:r>
    </w:p>
    <w:p>
      <w:r>
        <w:t>FR: VD_FINDINFO Décision / 2019 / 488 du 13 juin 2019</w:t>
      </w:r>
    </w:p>
    <w:p>
      <w:r>
        <w:t>IT: VD_FINDINFO Décision / 2019 / 488 del 13 giugno 2019</w:t>
      </w:r>
    </w:p>
    <w:p>
      <w:pPr>
        <w:pStyle w:val="Heading2"/>
      </w:pPr>
      <w:r>
        <w:t>Regeste</w:t>
      </w:r>
    </w:p>
    <w:p>
      <w:r>
        <w:t>LIBÉRATION CONDITIONNELLE, REJET DE LA DEMANDE, À VIE, RÉCLUSION | 86 CP</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 TF 6B_103/2019 précité).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134 IV 140 consid. 4.2 ; ATF 133 IV 201 précité ; TF 6B_353/2019 précité).</w:t>
      </w:r>
    </w:p>
    <w:p>
      <w:r>
        <w:rPr>
          <w:b/>
        </w:rPr>
        <w:t>E. 2.2</w:t>
      </w:r>
    </w:p>
    <w:p>
      <w:r>
        <w:t>En l’espèce, le recourant a déjà purgé quinze ans de détention et plus des deux tiers de ses autres peines. En outre, son comportement en détention ne prête pas le flanc à la critique, de sorte que les deux premières conditions à la libération conditionnelle sont réalisées.</w:t>
      </w:r>
    </w:p>
    <w:p>
      <w:r>
        <w:rPr>
          <w:b/>
        </w:rPr>
        <w:t>E. 3.1</w:t>
      </w:r>
    </w:p>
    <w:p>
      <w:r>
        <w:t>Dans un premier grief, le recourant se plaint de ce que les experts et le Collège des juges d’application des peines n’auraient pas accordé assez d’importance à son comportement actuel. Il fait valoir à cet égard que son comportement en détention n’appellerait aucune critique et que ses prestations au travail auraient été qualifiées d’excellentes.</w:t>
      </w:r>
    </w:p>
    <w:p>
      <w:r>
        <w:rPr>
          <w:b/>
        </w:rPr>
        <w:t>E. 3.2</w:t>
      </w:r>
    </w:p>
    <w:p>
      <w:r>
        <w:t>Dans le cas présent, et contrairement à ce que soutient le recourant, le Collège des Juges d'application des peines, tout comme les experts dans leur rapport du 8 février 2018, a tenu compte du fait que son comportement en détention ne prêtait pas le flanc à la critique. En effet, les experts ont expressément indiqué que le rapport de la direction des EPO du 6 juin 2017 faisait état d’un bon comportement du détenu, tant au cellulaire qu’au travail (cf. rapport d’expertise, p. 5) et les premiers juges ont constaté que « le comportement en détention de T.________ ne prêt[ait] pas le flanc à la critique » (cf. décision attaquée, consid. VI). Le Collège des juges d’application des peines a toutefois, à juste titre, considéré que cet élément n’avait pas la portée décisive que lui prêtait le recourant. En effet, conformément à la jurisprudence précitée (cf. consid. 2.1 ci-dessus), un bon comportement du condamné en détention ne suffit pas à justifier une libération conditionnelle, cet élément n’étant qu’un critère parmi d’autres, dont l’on peut même se demander s’il constitue vraiment un critère de décision indépendant ou s'il n'est pas, selon les circonstances, un simple élément d'appréciation supplémentaire pour établir le pronostic (ATF 119 IV 5 précité). Partant, ce grief doit être rejeté.</w:t>
      </w:r>
    </w:p>
    <w:p>
      <w:r>
        <w:rPr>
          <w:b/>
        </w:rPr>
        <w:t>E. 4.1</w:t>
      </w:r>
    </w:p>
    <w:p>
      <w:r>
        <w:t>Le recourant critique l’appréciation faite par les experts et le Collège des juges d’application des peines, et fait valoir que l’assassinat de son épouse daterait de plus de trente-cinq ans, que ces faits ne feraient plus partie de sa personnalité, laquelle aurait changé depuis lors, et que ce serait pour cette raison compréhensible qu’il n’éprouverait plus à l’heure actuelle de remords authentiques et de culpabilité.</w:t>
      </w:r>
    </w:p>
    <w:p>
      <w:r>
        <w:rPr>
          <w:b/>
        </w:rPr>
        <w:t>E. 4.2</w:t>
      </w:r>
    </w:p>
    <w:p>
      <w:r>
        <w:t>Or, s’il est vrai que de nombreuses années se sont écoulées depuis l’assassinat commis par le recourant, l’écoulement du temps ne change rien au fait que T.________ présente aujourd’hui, selon le rapport d’expertise du 8 février 2018, un trouble mixte de la personnalité de type narcissique et dyssocial, et des troubles mentaux et du comportement liés à l’alcool, actuellement abstinent mais dans un environnement protégé. Ce diagnostic correspond en substance à celui posé par l’expert désigné lors du procès pour assassinat, expert qui avait conclu à l’existence de traits caractériels auxquels se surajoutent une perversion massive de la relation avec un déni caricatural du narcissisme de l’autre, de sa compétence et de son rôle (cf. jugement du Tribunal criminel du district de Lausanne du 16 janvier 1984, p. 52). A ces troubles est lié, selon le rapport d’expertise du 8 février 2018, un risque de récidive violente de degré moyen à élevé en général et de degré élevé dans certaines situations, telle une relation de proximité et d’intensité émotionnelle avec une femme, une situation conflictuelle qui réveillerait un sentiment d’abandon ou de tromperie, ou une consommation d’alcool, même ponctuelle. Ainsi, quelle que soit l’évolution de sa personnalité depuis le début des années 1980, force est de constater que le recourant a conservé certains traits de personnalité qui ont contribué à ce qu’il commette l’assassinat pour lequel il purge sa peine et qui lui font présenter aujourd’hui un risque de récidive justifiant un pronostic négatif. Partant, ce grief doit être rejeté.</w:t>
      </w:r>
    </w:p>
    <w:p>
      <w:r>
        <w:rPr>
          <w:b/>
        </w:rPr>
        <w:t>E. 5.1</w:t>
      </w:r>
    </w:p>
    <w:p>
      <w:r>
        <w:t>Enfin, le recourant soutient que les faits qui ont entraîné la révocation des deux libérations conditionnelles qui lui ont été accordées par le passé, la première du 23 décembre 1997 au 22 novembre 2001 et la seconde du 6 mai 2011 au 21 septembre 2013, ne sauraient justifier son maintien en détention encore aujourd’hui.</w:t>
      </w:r>
    </w:p>
    <w:p>
      <w:r>
        <w:rPr>
          <w:b/>
        </w:rPr>
        <w:t>E. 5.2</w:t>
      </w:r>
    </w:p>
    <w:p>
      <w:r>
        <w:t>L’argumentation du recourant tombe à faux. En effet, ce ne sont pas les faits à l’origine de la révocation des deux précédentes décisions de libération conditionnelle qui ont motivé le refus, par le Collège des juges d’application des peines, de lui accorder un troisième élargissement anticipé, mais bien le risque de récidive violente, encore attesté par les experts il y a un peu plus d’une année, qu’il  continue de présenter. Ce grief, mal fondé, doit dès lors être rejeté. Au vu de ce qui précède, c’est donc à juste titre que les premiers juges ont considéré que le pronostic quant au comportement futur du recourant était résolument défavorable et, partant, ont refusé de lui accorder la libération conditionnelle.</w:t>
      </w:r>
    </w:p>
    <w:p>
      <w:r>
        <w:rPr>
          <w:b/>
        </w:rPr>
        <w:t>E. 6.1</w:t>
      </w:r>
    </w:p>
    <w:p>
      <w:r>
        <w:t>Dans ses conclusions subsidiaires, le recourant requiert qu’une nouvelle expertise psychiatrique, qui tienne notamment compte du fait que les actes incriminés ont été commis il y a plus de trente-cinq ans et ne feraient plus partie de sa personnalité, soit ordonnée.</w:t>
      </w:r>
    </w:p>
    <w:p>
      <w:r>
        <w:rPr>
          <w:b/>
        </w:rPr>
        <w:t>E. 6.2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w:t>
      </w:r>
    </w:p>
    <w:p>
      <w:r>
        <w:rPr>
          <w:b/>
        </w:rPr>
        <w:t>E. 6.3</w:t>
      </w:r>
    </w:p>
    <w:p>
      <w:r>
        <w:t>Dans son acte de recours, le recourant n’articule aucun moyen qui permettrait de remettre en cause la force probante de l’expertise du 8 février 2018. Or force est de constater, comme l’a retenu à juste titre le Collège des juges d’application des peines, que cette expertise est claire, précise et répond de manière circonstanciée aux questions posées, de sorte qu’un complément ou une nouvelle expertise psychiatrique ne se justifie pas. Elle apparaît par ailleurs toujours d’actualité, la situation du condamné n’ayant pratiquement pas évolué depuis lors et aucun élément postérieur n’étant venu l’infirmer. Partant, la conclusion subsidiaire du recours doit être rejetée.</w:t>
      </w:r>
    </w:p>
    <w:p>
      <w:r>
        <w:rPr>
          <w:b/>
        </w:rPr>
        <w:t>E. 7</w:t>
      </w:r>
    </w:p>
    <w:p>
      <w:r>
        <w:t>En définitive, le recours, manifestement mal fondé, doit être rejeté sans échange d’écritures (art. 390 al. 2 CPP) et la décision entreprise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 bis al. 1 RAJ [Règlement du 7 décembre 2010 sur l'assistance judiciaire en matière civile ;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31 mai 2019 est confirmée. III. L’indemnité allouée au défenseur d’office de T.________ est fixée à 593 fr. 20 (cinq cent nonante-trois francs et vingt centimes). IV. Les frais d’arrêt, par 1’540 fr., ainsi que l’indemnité due au défenseur d’office de T.________, par 593 fr. 20 (cinq cent nonante-trois francs et vingt centimes),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Jean Lob, avocat (pour T.________), - Ministère public central, et communiqué à : ‑ Mme la Présidente du Collège des juges d’application des peines, - M. le Procureur du Ministère public central, Division affaires spéciales, - Office d’exécution des peines (réf. : OEP/PPL/9/AVI/JR),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