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478 vom 3. Juni 2019</w:t>
      </w:r>
    </w:p>
    <w:p>
      <w:r>
        <w:t>VD Tribunal cantonal, 2019-06-03, FR</w:t>
      </w:r>
    </w:p>
    <w:p>
      <w:r>
        <w:rPr>
          <w:b/>
        </w:rPr>
        <w:t xml:space="preserve">Quelle: </w:t>
      </w:r>
      <w:r>
        <w:t>https://mcp.opencaselaw.ch/entscheid/vd_findinfo_D_cision___2019___478</w:t>
      </w:r>
    </w:p>
    <w:p>
      <w:r>
        <w:t>FR: VD_FINDINFO Décision / 2019 / 478 du 3 juin 2019</w:t>
      </w:r>
    </w:p>
    <w:p>
      <w:r>
        <w:t>IT: VD_FINDINFO Décision / 2019 / 478 del 3 giugno 2019</w:t>
      </w:r>
    </w:p>
    <w:p>
      <w:pPr>
        <w:pStyle w:val="Heading2"/>
      </w:pPr>
      <w:r>
        <w:t>Regeste</w:t>
      </w:r>
    </w:p>
    <w:p>
      <w:r>
        <w:t>CONTRAINTE{DROIT PÉNAL}, NON-LIEU | 181 CP</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en temps utile et dans les formes prescrites (art. 385 al. 1 CPP) auprès de l’autorité compétente, par la partie plaignante qui a qualité pour recourir (art. 382 al. 1 CPP), le recours est recevable.</w:t>
      </w:r>
    </w:p>
    <w:p>
      <w:r>
        <w:rPr>
          <w:b/>
        </w:rPr>
        <w:t>E. 2.1</w:t>
      </w:r>
    </w:p>
    <w:p>
      <w:r>
        <w:t>Conformément à l’art. 310 al. 1 let. a CPP, le Ministère public rend immédiatement, c’est-à-dire sans ouvrir d’instruction (art. 309 al. 1 et 4 CPP; TF 1B_111/2012 du 5 avril 2012 consid. 2.1; Cornu, in : Kuhn/Jeanneret [éd.], Commentaire romand, Code de procédure pénale suisse, Bâle 2011, n. 2 ad art. 310 CPP) et donc sans administrer de preuves (art. 311 CPP; Cornu, op. cit., n. 4 ad art. 310 CPP), une ordonnance de non-entrée en matière s’il ressort de la dénonciation (cf. art. 301 s. CPP) – respectivement, bien que l’art. 310 al. 1 CPP ne le mentionne pas expressément, de la plainte pénale (Cornu, op. cit., n. 1 ad art. 310 CPP) – ou après une procédure préliminaire limitée aux investigations de la police (art. 300 al. 1 et 306 s. CPP), que les éléments constitutifs d'une infraction ou les conditions à l'ouverture de l'action pénale ne sont manifestement pas réunis (TF 6B_898/2017 du 8 mars 2018 consid. 3.1). D’après la jurisprudence, l'art. 310 CPP doit être appliqué conformément à l'adage in dubio pro duriore (TF 6B_427/2017 du 15 novembre 2017 consid. 2.1 et la réf. citée). Celui-ci découle du principe de la légalité (art. 5 al. 1 Cst. [Constitution fédérale de la Confédération suisse du 18 avril 1999; RS 101]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ATF 138 IV 86 consid. 4.1.2; ATF 138 IV 186 consid. 4.1).</w:t>
      </w:r>
    </w:p>
    <w:p>
      <w:r>
        <w:rPr>
          <w:b/>
        </w:rPr>
        <w:t>E. 2.1.3</w:t>
      </w:r>
    </w:p>
    <w:p>
      <w:r>
        <w:t>et les arrêts cités).</w:t>
      </w:r>
    </w:p>
    <w:p>
      <w:r>
        <w:rPr>
          <w:b/>
        </w:rPr>
        <w:t>E. 2.2</w:t>
      </w:r>
    </w:p>
    <w:p>
      <w:r>
        <w:t>Aux termes de l'art. 181 CP (Code pénal suisse du 21 décembre 1937; RS 311.0),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plus particulièrement la libre formation et le libre exercice de la volonté (ATF 141 IV 1 consid. 3.3.1). La contrainte est une infraction de résultat qui n'est consommée que si la personne visée a commencé à adopter le comportement imposé par le moyen de pression. Si, malgré la menace d'un dommage sérieux, la personne visée ne cède pas et n'adopte pas le comportement souhaité par l'auteur, il y a délit manqué de contrainte (TF 6B_641/2009 du 18 février 2010 consid. 4.1). Selon la jurisprudence, la contrainte n'est contraire au droit que si elle est illicite (ATF 120 IV 17 consid. 2a et les arrêts cités; TF 6B_415/2018 du 20 septembre 2018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ATF 137 IV 326 consid. 3.3.1, JdT 2012 IV 279; ATF 120 IV 17 consid. 2a/bb; TF 6B_415/2018 du 20 septembre 2018 consid. 2.1.3). Ainsi, menacer d'une plainte pénale pour une infraction que rien ne permet sérieusement de soupçonner est un moyen en soi inadmissible (ATF 120 IV 17 consid. 2a/bb; TF 6B_415/2018 du 20 septembre 2018 consid. 2.1.3).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du 20 septembre 2018 consid.</w:t>
      </w:r>
    </w:p>
    <w:p>
      <w:r>
        <w:rPr>
          <w:b/>
        </w:rPr>
        <w:t>E. 2.3</w:t>
      </w:r>
    </w:p>
    <w:p>
      <w:r>
        <w:t>En l’espèce, le recourant soutient que les éléments constitutifs de la contrainte sont réalisés. Il fait valoir d’abord qu’il n’y avait pas de lien de connexité entre le moyen utilisé et le but visé, dans la mesure où la menace de déposer plainte pénale mentionnée dans la lettre incriminée est dirigée contre lui personnellement, alors même que c’était [...] seule qui était partie au litige avec la communauté des copropriétaires par étages. Le recourant oublie qu’en droit pénal, la responsabilité d’une entreprise est subsidiaire à celle d’une personne physique (art. 102 al. 1 CP). Dans le cas particulier, l’éventuelle infraction pouvait être imputée au recourant personnellement. C’est donc contre lui, et non contre l’entreprise, soit contre la personne morale, que la plainte aurait été dirigée si elle avait été déposée. L’argument tombe dès lors à faux. Cela n’enlève toutefois rien à l’exigence d’un lien de connexité entre le moyen utilisé et le but visé (consid. 2.2 ci-dessus). Or ce lien est donné dans le cas particulier par adoption des motifs de l’ordonnance. En effet, les mandants de l’avocat W.________ s’estimaient les victimes d’une infraction qui leur aurait occasionné un préjudice de 750'000 francs. Partant, la pression exercée par la menace d’une plainte pénale à l’égard de l’auteur présumé de l’infraction en question n’apparaît pas abusive, dès lors que la plainte aurait été en rapport avec le but poursuivi, soit avec le paiement de la créance invoquée. Le recourant soutient en outre que le fait d’écrire qu’il ne faudrait pas qu’il s’étonne si les médias devaient, un jour, être informés de ses agissements à l’égard de la communauté des copropriétaires par étages de la PPE [...] constituerait une menace d’un dommage sérieux constitutive de contrainte au sens de l’art. 181 CP. Toutefois, il découle de la définition légale de l’infraction réprimée à l’art. 181 CP que le moyen de contrainte utilisé (ici la menace) doit avoir pour but d’obliger la victime à faire, à ne pas faire ou à laisser faire un acte. Or l’avocat W.________ précise expressément, dans la lettre incriminée, qu’il n’a pas été mandaté pour des démarches à l’attention des médias, mais pour agir sur le plan judiciaire. Il n’y a ainsi pas de menace de divulgation aux médias d’un quelconque élément relatif au litige qui opposait alors [...] à la communauté des copropriétaires par étages. Les éléments constitutifs de la contrainte ne sont donc pas entièrement réalisés.</w:t>
      </w:r>
    </w:p>
    <w:p>
      <w:r>
        <w:rPr>
          <w:b/>
        </w:rPr>
        <w:t>E. 2.4</w:t>
      </w:r>
    </w:p>
    <w:p>
      <w:r>
        <w:t>Pour le reste, le recours ne comporte aucun moyen portant sur l’infraction de calomnie, également écartée par l’ordonnance.</w:t>
      </w:r>
    </w:p>
    <w:p>
      <w:r>
        <w:rPr>
          <w:b/>
        </w:rPr>
        <w:t>E. 3</w:t>
      </w:r>
    </w:p>
    <w:p>
      <w:r>
        <w:t>Il résulte de ce qui précède que le recours, manifestement mal fondé, doit être rejeté sans échange d’écritures (art. 390 al. 2 CPP) et l’ordonnance entreprise confirmée. Les frais de la procédure de recours, constitués en l’espèce du seul émolument d’arrêt, par 770 fr. (art. 422 al. 1 CPP et 20 al. 1 TFIP [Tarif des frais de procédure et indemnités en matière pénale du 28 septembre 2010; BLV 312.03.1]), seront mis à la charge du recourant, qui succombe (art. 428 al. 1 CPP). Par ces motifs, la Chambre des recours pénale prononce : I. Le recours est rejeté. II. L’ordonnance du 10 mai 2019 est confirmée. III. Les frais d’arrêt, par 770 fr. (sept cent septante francs), sont mis à la charge de M.________. IV. L’arrêt est exécutoire. Le président :               Le greffier : Du Le présent arrêt, dont la rédaction a été approuvée à huis clos, est notifié, par l'envoi d'une copie complète, à : - Me Bernard Katz, avocat (pour M.________),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