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470 vom 17. Juni 2019</w:t>
      </w:r>
    </w:p>
    <w:p>
      <w:r>
        <w:t>VD Tribunal cantonal, 2019-06-17, FR</w:t>
      </w:r>
    </w:p>
    <w:p>
      <w:r>
        <w:rPr>
          <w:b/>
        </w:rPr>
        <w:t xml:space="preserve">Quelle: </w:t>
      </w:r>
      <w:r>
        <w:t>https://mcp.opencaselaw.ch/entscheid/vd_findinfo_D_cision___2019___470</w:t>
      </w:r>
    </w:p>
    <w:p>
      <w:r>
        <w:t>FR: VD_FINDINFO Décision / 2019 / 470 du 17 juin 2019</w:t>
      </w:r>
    </w:p>
    <w:p>
      <w:r>
        <w:t>IT: VD_FINDINFO Décision / 2019 / 470 del 17 giugno 2019</w:t>
      </w:r>
    </w:p>
    <w:p>
      <w:pPr>
        <w:pStyle w:val="Heading2"/>
      </w:pPr>
      <w:r>
        <w:t>Regeste</w:t>
      </w:r>
    </w:p>
    <w:p>
      <w:r>
        <w:t>NON-LIEU, ABUS DE CONFIANCE, SOUSTRACTION D'UNE CHOSE MOBILIÈRE, UTILISATION SANS DROIT DE VALEURS PATRIMONIALES | 138 ch. 1 CP, 141 CP, 141bis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fait tout d'abord grief au Procureur de ne pas avoir mentionné qu'elle aurait informé préalablement R.________ du rapatriement du véhicule litigieux. Ainsi, selon elle, l'intéressée aurait pu enlever ses affaires personnelles avant que le véhicule soit emporté. De surcroît, il aurait été impossible de remettre ses affaires à R.________ en échange, celle-ci demeurant injoignable le jour du rapatriement. La recourante allègue encore qu'elle serait toujours prête à faire cet échange. Ensuite, la recourante expose n'avoir jamais déposé plainte pour abus de confiance. Elle soutient surtout que les infractions de soustraction d’une chose mobilière et d'utilisation sans droit de valeurs patrimoniales seraient réalisées.</w:t>
      </w:r>
    </w:p>
    <w:p>
      <w:r>
        <w:rPr>
          <w:b/>
        </w:rPr>
        <w:t>E. 3.2.1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Du point de vue subjectif, l'auteur doit avoir agi intentionnellement et dans un dessein d'enrichissement illégitime, lequel peut être réalisé par dol éventuel (ATF 118 IV 32 consid. 2a p. 34).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 ATF 98 IV 21 consid. 1 et 2 ; ATF 81 IV consid. 2).</w:t>
      </w:r>
    </w:p>
    <w:p>
      <w:r>
        <w:rPr>
          <w:b/>
        </w:rPr>
        <w:t>E. 3.2.2</w:t>
      </w:r>
    </w:p>
    <w:p>
      <w:r>
        <w:t>Selon l’art. 141 CP, celui qui, sans dessein d’appropriation, aura soustrait une chose mobilière à l’ayant droit et lui aura causé par là un préjudice considérable sera, sur plainte, puni d’une peine privative de liberté ou d’une peine pécuniaire. Savoir s'il y a un préjudice considérable est une question d'appréciation et dépend des circonstances concrètes de chaque cas d'espèce; les cas bagatelles sont exclus (Dupuis et alii, Petit commentaire du Code pénal, 2 e éd., Bâle 2017, n. 9 ad art. 141 CP). L'art. 141 CP décrit une infraction intentionnelle. L'élément subjectif doit englober le fait de causer un préjudice considérable. Le dol éventuel suffit (Dupuis et alii, op. cit., n. 10 ad art. 141 CP).</w:t>
      </w:r>
    </w:p>
    <w:p>
      <w:r>
        <w:rPr>
          <w:b/>
        </w:rPr>
        <w:t>E. 3.2.3</w:t>
      </w:r>
    </w:p>
    <w:p>
      <w:r>
        <w:t>Selon l'art. 141bis CP, celui qui, sans droit, aura utilisé à son profit ou au profit d'un tiers des valeurs patrimoniales tombées en son pouvoir indépendamment de sa volonté. Dans le contexte de cette disposition, la notion de valeurs patrimoniales vise uniquement les créances et en particulier la monnaie scripturale (ATF 131 IV 11, consid. 3.1.1 et 3.2).</w:t>
      </w:r>
    </w:p>
    <w:p>
      <w:r>
        <w:rPr>
          <w:b/>
        </w:rPr>
        <w:t>E. 3.3</w:t>
      </w:r>
    </w:p>
    <w:p>
      <w:r>
        <w:t>La recourante fait grief au Procureur de s'être penché sur une qualification possible des faits portés à sa connaissance qu'elle-même n'envisageait pas spontanément. Ce reproche est infondé dès lors que le magistrat instructeur n'est pas lié par la qualification juridique évoquée par le plaignant ou le dénonciateur, et doit se demander si les faits dont il est saisi peuvent relever d'une autre qualification de la plainte (Cornu, op. cit., n. 10 ad art. 310 CPP). Ainsi, l'ordonnance litigieuse, en tant qu'elle examine si les éléments constitutifs de l'abus de confiance (art. 138 CP) sont réalisés ou non, échappe à la critique. S'agissant précisément de cette infraction d'abus de confiance, il y a lieu de constater, avec le Ministère public, que, dans le cas d'espèce, ses éléments constitutifs ne sont pas réalisés. Il ressort en effet du dossier (cf. P. 4/6) que R.________ a conservé la clé et le compartiment à bagages réclamés par la plaignante car cette dernière conservait ses effets personnels et les quatre pneus montés sur le véhicule litigieux. Etant en droit de faire valoir la compensation (cf. ATF 105 IV 29 [34 ss]), l'intéressée n’a donc pas agi dans le but d’obtenir un enrichissement illégitime. Les circonstances de fait évoquées par la recourante, que l'ordonnance attaquée omettrait, selon elle à tort, de mentionner, à savoir que R.________, prétendument préalablement avertie, aurait pu enlever ses affaires personnelles avant que le véhicule ne soit emporté, qu'il aurait été impossible de lui remettre en échange ses affaires le jour du rapatriement, l'intéressée demeurant injoignable, ou encore que la plaignante se dise toujours prête à faire l'échange des objets conservés de part et d'autre, ne changent rien à l'appréciation selon laquelle l'élément subjectif de l'infraction d'abus de confiance n'est pas réalisé en l'occurrence, la volonté de s'enrichir chez R.________ faisant manifestement défaut. S'agissant de l'infraction de soustraction d’une chose mobilière (art. 141 CP), la Cour considère, à l'instar du Procureur, que le fait de conserver une des clés du véhicule et le compartiment à bagages n’est pas de nature à occasionner un préjudice considérable. Ainsi, le préjudice matériel allégué par la plaignante dans son recours, de 1'000 fr., est non seulement aucunement étayé, mais apparaît d'une quotité insuffisante pour revenir sur cette appréciation En effet, si la valeur est supérieure à la limite fixée par la doctrine pour un cas "non signifiant" (cf. Jeanneret, in: Roth/Moreillon [éd.], Commentaire romand, Code pénal II, Bâle 2017, n.14 ad 141 CP), il n'en reste pas moins que les circonstances concrètes du cas démontrent que ces objets ne sont que des accessoires de la voiture [...], et la valeur séparée peut difficilement être qualifiée de "considérable". Quant à l'hypothèse avancée par la recourante de l'utilisation de la clé par R.________, pour ouvrir et conduire le véhicule litigieux, actuellement repris par la recourante et entre ses mains, faut-il le rappeler, celle-ci apparaît totalement dénuée de vraisemblance et ne peut dès lors être prise en compte dans l'examen d'un éventuel préjudice. S'agissant de l'infraction d'utilisation sans droit de valeurs patrimoniales (art. 141bis CP), elle ne vise pas les choses mobilières, comme une clé ou un compartiment à bagages, mais des valeurs patrimoniales, à savoir tout élément du patrimoine qui ne constitue pas une chose appartenant à autrui. En tant qu'elle écarte également la réalisation de cette infraction, l'ordonnance litigieuse échappe à la critique. Il apparaît ainsi, comme l’a considéré le Procureur, qu’il n’y a pas lieu d’entrer en matière sur la plainte pénale déposée par I.________, les conditions d'ouverture d'une action pénale n'étant manifestement pas réunies.</w:t>
      </w:r>
    </w:p>
    <w:p>
      <w:r>
        <w:rPr>
          <w:b/>
        </w:rPr>
        <w:t>E. 4</w:t>
      </w:r>
    </w:p>
    <w:p>
      <w:r>
        <w:t>Il résulte de ce qui précède que le recours, man ifestement mal fondé, doit être rejeté, sans échange d’écritures, et l’ordonnance entreprise confirmée. Les frais de la procédure de recours, constitués en l’espèce du seul émolument d’arrêt, par 880 fr. (art. 422 al. 1 CPP et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27 mars 2019 est confirmée. III. Les frais d'arrêt, par 880 fr. (huit cent huitante francs), sont mis à la charge de la recourante. IV. L’arrêt est exécutoire. Le président :               Le greffier : Du Le présent arrêt, dont la rédaction a été approuvée à huis clos, est notifié, par l'envoi d'une copie complète, à : - I.________, - Ministère public central, et communiqué à : - M. le Procureur de l'arrondissement de Lausanne, - R.________,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