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458 vom 10. Mai 2019</w:t>
      </w:r>
    </w:p>
    <w:p>
      <w:r>
        <w:t>VD Tribunal cantonal, 2019-05-10, FR</w:t>
      </w:r>
    </w:p>
    <w:p>
      <w:r>
        <w:rPr>
          <w:b/>
        </w:rPr>
        <w:t xml:space="preserve">Quelle: </w:t>
      </w:r>
      <w:r>
        <w:t>https://mcp.opencaselaw.ch/entscheid/vd_findinfo_D_cision___2019___458</w:t>
      </w:r>
    </w:p>
    <w:p>
      <w:r>
        <w:t>FR: VD_FINDINFO Décision / 2019 / 458 du 10 mai 2019</w:t>
      </w:r>
    </w:p>
    <w:p>
      <w:r>
        <w:t>IT: VD_FINDINFO Décision / 2019 / 458 del 10 maggio 2019</w:t>
      </w:r>
    </w:p>
    <w:p>
      <w:pPr>
        <w:pStyle w:val="Heading2"/>
      </w:pPr>
      <w:r>
        <w:t>Regeste</w:t>
      </w:r>
    </w:p>
    <w:p>
      <w:r>
        <w:t>NON-LIEU, ESCROQUERIE, USURE{DROIT PÉNAL}, CRÉDIT HYPOTHÉCAIRE, TAUX D'INTÉRÊT, ORGANISATION CRIMINELLE | 146 CP, 157 CP, 260ter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S.________ est recevable.</w:t>
      </w:r>
    </w:p>
    <w:p>
      <w:r>
        <w:rPr>
          <w:b/>
        </w:rPr>
        <w:t>E. 2.1</w:t>
      </w:r>
    </w:p>
    <w:p>
      <w:r>
        <w:t>Conformément à l'art. 310 al. 1 let. a CPP, le ministère public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s. CPP) ou de la plainte (Cornu, op. cit., n. 1 ad art. 310 CPP) ou après une procédure préliminaire limitée aux investigations de la police (art. 300 al. 1 et 306 s. CPP), que les éléments constitutifs d'une infraction ou les conditions à l'ouverture de l'action pénale ne sont manifestement pas réunis (TF 6B_1238/2018 du 16 janvier 2019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2.2.1</w:t>
      </w:r>
    </w:p>
    <w:p>
      <w:r>
        <w:t>Se rend coupable d’escroquerie au sens de l’art. 146 al. 1 CP (Code pénal suisse du 21 décembre 1937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 ATF 128 IV 18 consid. 3a ; TF 6B_446/2018 du 17 juillet 2018 consid. 2.1 et les réf. citées).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 [éd.], Petit Commentaire du Code pénal, 2 e éd., Bâle 2017, nn. 11 ss ad art. 146 CP et les réf. citées).</w:t>
      </w:r>
    </w:p>
    <w:p>
      <w:r>
        <w:rPr>
          <w:b/>
        </w:rPr>
        <w:t>E. 2.2.2</w:t>
      </w:r>
    </w:p>
    <w:p>
      <w:r>
        <w:t>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L’usure suppose d'abord que la victime se soit trouvée dans l'une des situations de faiblesse énumérées exhaustivement par cette disposition (Dupuis et al., op. cit., n. 2 ad art. 157 CP et les réf. citées), à savoir la gêne, la dépendance, l'inexpérience ou la faiblesse de la capacité de jugement. Il faut ensuite que l'auteur ait sciemment exploité cette situation de faiblesse en vue de se faire accorder ou promettre, pour lui-même ou pour un tiers, un avantage pécuniaire (ATF 93 IV 85 consid. 5). L’usure implique en outre un contrat onéreux, l’avantage devant avoir été fourni ou promis en échange d'une prestation (ATF 130 IV 106 consid. 7.2 ; ATF 111 IV 139 consid. 3c). Il faut encore qu'il existe une disproportion évidente entre l'avantage et la prestation échangée. Enfin, cette disproportion doit être en lien de causalité avec la situation de faiblesse de la victime (TF 6B_395/2007 du 14 novembre 2007 consid. 4.1). Dans le domaine du petit crédit, des intérêts supérieurs à 18-20 % par an ont été considérés comme usuraires ; dans les autres domaines, l’usure doit être retenue dès que la disproportion entre les prestations atteint 25 % (Hurtado Pozo, Droit pénal, Partie spéciale, Genève/Zurich/Bâle 2009, n. 1477 p. 436 et les réf. citées).</w:t>
      </w:r>
    </w:p>
    <w:p>
      <w:r>
        <w:rPr>
          <w:b/>
        </w:rPr>
        <w:t>E. 2.2.3</w:t>
      </w:r>
    </w:p>
    <w:p>
      <w:r>
        <w:t>L’art. 260 ter ch. 1 CP punit notamment celui qui aura participé à une organisation qui tient sa structure et son effectif secrets et qui poursuit le but de commettre des actes de violence criminels ou de se procurer des revenus par des moyens criminels. L’organisation criminelle se caractérise par trois éléments, à savoir son organisation, sa structure et son effectif secret et la commission d’actes de violence criminelle ou le fait de se procurer des revenus par des moyens d’ordre criminel. Elle est ainsi reconnaissable à trois caractéristiques : sa structure interne, l'absence de transparence et ses buts particuliers (Trechsel, Schweizerisches Strafgesetzbuch – Kurzkommentar, 2 e éd., Zurich 1997, n. 3 ad art. 260 ter CP). Pour que l’art. 260 ter CP trouve application, il faut que la structure et l’effectif de l’organisation criminelle soient soumis à la loi du silence. Le terme de secret ne se réfère pas à la discrétion généralement associée à des comportements délictueux : il doit s'agir d'une dissimulation qualifiée et systématique de la structure et de l’effectif de l’organisation, vis-à-vis de l’extérieur, et plus particulièrement vis-à-vis des autorités judiciaires (ATF 132 IV 132 consid. 4.1.1, JdT 2007 IV 133 ; ATF 129 IV 271 consid. 2.3.1 ; Dupuis et al., op. cit., n. 15 ad art. 260 ter CP et les réf. citées).</w:t>
      </w:r>
    </w:p>
    <w:p>
      <w:r>
        <w:rPr>
          <w:b/>
        </w:rPr>
        <w:t>E. 2.3</w:t>
      </w:r>
    </w:p>
    <w:p>
      <w:r>
        <w:t>En l’espèce, dans son recours, qui est difficilement intelligible, S.________ se réfère à des annexes 4 et 5, soit respectivement une lettre qu’elle a adressée le 14 février 2019 à la F.________ et la réponse de cet établissement du 22 février 2019, qui mentionne que le bien-fondé de ses créances et des procédures introduites a été reconnu par les autorités judiciaires et que l’immeuble a été vendu aux enchères le 16 novembre 2018. La recourante soutient que l’établissement bancaire n’a pas répondu aux questions qu’elle a posées et n’a pas fourni les preuves qu’elle lui a demandées. Elle ajoute que les intérêts pris en compte dans l’ordonnance de non-entrée en matière seraient erronés, que la F.________ aurait en réalité encaissé 300 % voire 1'000 % d’intérêts, et qu’il s’agirait dès lors bien de taux usuraires. Ce faisant, la recourante n’expose aucun argument pertinent de nature à ébranler le raisonnement adopté par le Ministère public, qui ne prête pas le flanc à la critique. Comme l’a retenu à juste titre le Procureur, il n’existe clairement aucune astuce, de sorte que l’existence d’une quelconque escroquerie de la F.________ dans le cadre de la conclusion des contrats de prêts hypothécaires peut d’emblée être écartée. Au surplus, dans la mesure où les griefs de la recourante quant aux taux d’intérêts ne se rapportent pas aux intérêts convenus contractuellement, lesquels, comme l’a justement relevé le Procureur, ne sont pas usuraires au vu des règles applicables en la matière (qui ne sont cependant pas celles découlant de la LCC [Loi fédérale sur le crédit à la consommation du 23 mars 2001 ; RS 221.214.1], qui ne s’applique pas aux contrats de crédit garantis par des gages immobiliers, ni à ceux qui portent sur des montants supérieurs à 80'000 francs ; cf. art. 7 al. 1 let. a et c LCC), son raisonnement relatif à l’usure est mal fondé. Enfin, quant à la prétendue participation à une organisation criminelle, on ne peut d’emblée que constater que les accusations de la recourante ne reposent sur aucun fondement. Au vu de ce qui précède, c’est à bon droit que le Ministère public a refusé d’entrer en matière sur la plainte de S.________.</w:t>
      </w:r>
    </w:p>
    <w:p>
      <w:r>
        <w:rPr>
          <w:b/>
        </w:rPr>
        <w:t>E. 3</w:t>
      </w:r>
    </w:p>
    <w:p>
      <w:r>
        <w:t>A la fin de son recours, la recourante « exige toujours que cette procédure soit traité ( sic ) dans un autre canton à cause d’une forte suspicion de partialité ». La question du for a été tranchée de manière définitive par le Tribunal pénal fédéral le 6 décembre 2018. Cette autorité a estimé que les cantons de Genève et de Neuchâtel évoqués par S.________ pour traiter de sa plainte n’avaient aucun lien avec les faits dénoncés, qui s’étaient produits dans le canton de Vaud, de sorte que seules les autorités pénales de ce dernier canton étaient compétentes. La recourante ne peut pas revenir sur cette décision, qui est désormais entrée en force.</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1 re phrase, CPP). L’avance de frais de 550 fr. versée par la recourante à titre de sûretés (cf. art. 383 al. 1 CPP) sera imputée sur les frais mis à sa charge (art. 7 TFIP). Par ces motifs, la Chambre des recours pénale prononce : I. Le recours est rejeté. II. L’ordonnance du 7 mars 2019 est confirmée. III. Les frais de la procédure de recours, par 990 fr. (neuf cent nonante francs), sont mis à la charge de S.________. IV. L’avance de frais de 550 fr. (cinq cent cinquante francs) versée par S.________ à titre de sûretés est imputée sur le montant arrêté sous chiffre III ci-dessus. V. L’arrêt est exécutoire. Le président : La greffière : Du Le présent arrêt, dont la rédaction a été approuvée à huis clos, est notifié, par l'envoi d'une copie complète, à : - Mme S.________,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