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446 vom 28. Mai 2019</w:t>
      </w:r>
    </w:p>
    <w:p>
      <w:r>
        <w:t>VD Tribunal cantonal, 2019-05-28, FR</w:t>
      </w:r>
    </w:p>
    <w:p>
      <w:r>
        <w:rPr>
          <w:b/>
        </w:rPr>
        <w:t xml:space="preserve">Quelle: </w:t>
      </w:r>
      <w:r>
        <w:t>https://mcp.opencaselaw.ch/entscheid/vd_findinfo_D_cision___2019___446</w:t>
      </w:r>
    </w:p>
    <w:p>
      <w:r>
        <w:t>FR: VD_FINDINFO Décision / 2019 / 446 du 28 mai 2019</w:t>
      </w:r>
    </w:p>
    <w:p>
      <w:r>
        <w:t>IT: VD_FINDINFO Décision / 2019 / 446 del 28 maggio 2019</w:t>
      </w:r>
    </w:p>
    <w:p>
      <w:pPr>
        <w:pStyle w:val="Heading2"/>
      </w:pPr>
      <w:r>
        <w:t>Regeste</w:t>
      </w:r>
    </w:p>
    <w:p>
      <w:r>
        <w:t>CONSULTATION DU DOSSIER | 101 CPP (CH)</w:t>
      </w:r>
    </w:p>
    <w:p>
      <w:pPr>
        <w:pStyle w:val="Heading2"/>
      </w:pPr>
      <w:r>
        <w:t>Erwägungen</w:t>
      </w:r>
    </w:p>
    <w:p>
      <w:r>
        <w:rPr>
          <w:b/>
        </w:rPr>
        <w:t>E. 1.1</w:t>
      </w:r>
    </w:p>
    <w:p>
      <w:r>
        <w:t>Aux termes de l’art. 393 al. 1 let. a CPP, le recours est recevable contre les décisions et actes de procédure du Ministère public.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1.2</w:t>
      </w:r>
    </w:p>
    <w:p>
      <w:r>
        <w:t>En l’espèce, il y a lieu d’admettre avec le recourant que le courrier du Procureur général du 23 avril 2019, bien que ne comportant ni dispositif ni indication des voies de droit, constitue bien une décision par laquelle ce magistrat – compétent pour statuer sur la consultation du dossier conformément à l’art. 102 al. 1 CPP – a rejeté la demande du recourant de limiter l’accès aux données le concernant aux seules personnes qui sont parties à l’enquête [...] dirigée contre lui pour menaces alarmant la population (art. 258 CP [Code pénal suisse du 21 décembre 1937, RS 311.0]). Interjeté ainsi en temps utile par le prévenu, qui a un intérêt juridique à l’annulation ou à la modification de l’ordonnance entreprise (art. 382 al. 1 CPP), et dans les formes prescrites (art. 385 al. 1 CPP), le recours de F.________ est recevable.</w:t>
      </w:r>
    </w:p>
    <w:p>
      <w:r>
        <w:rPr>
          <w:b/>
        </w:rPr>
        <w:t>E. 2.1</w:t>
      </w:r>
    </w:p>
    <w:p>
      <w:r>
        <w:t>Le recourant soutient qu'en tant qu'il serait, dans l'enquête [...], prévenu uniquement d'infraction à l'art. 258 CP, Z.________ SA, Groupe U.________ SA et C.________ ne bénéficieraient pas, faute d'être lésées par le comportement qui lui est directement reproché, du droit de consulter le dossier.</w:t>
      </w:r>
    </w:p>
    <w:p>
      <w:r>
        <w:rPr>
          <w:b/>
        </w:rPr>
        <w:t>E. 2.2</w:t>
      </w:r>
    </w:p>
    <w:p>
      <w:r>
        <w:t>Le droit d'accès au dossier est une composante du droit d'être entendu (cf. art. 29 al. 2 Cst. [Constitution fédérale de la Confédération suisse du 18 avril 1999; RS 101], 107 al. 1 let. a CPP; ATF 142 II 218 consid. 2.3 p. 222; 126 I 7 consid. 2b pp. 10 s.; TF 1B_56/2018 du 21 juin 2018, consid. 3.1). La partie plaignante a également accès en principe à l’ensemble du dossier, y compris aux pièces relatives à la procédure de mise en détention provisoire devant le Tribunal des mesures de contrainte (ATF 138 IV 78 consid. 3), et non uniquement aux pièces qui sont nécessaires pour fonder ses conclusions civiles (TF 1B_339/2013 du 4 février 2014 consid. 5; Perrier/Depeursinge, Code de procédure pénale annoté, Bâle 2015, ad art. 101 CPP p. 126 ; Schmutz, in : Niggli/Heer/Wiprächtiger [éd.], Basler Kommentar, Schweizerische Strafprozessordnung, Jugendstrafprozessordnung, 2 e éd., Bâle 2014, nn. 10 et 11 ad art. 101 CPP).</w:t>
      </w:r>
    </w:p>
    <w:p>
      <w:r>
        <w:rPr>
          <w:b/>
        </w:rPr>
        <w:t>E. 2.3</w:t>
      </w:r>
    </w:p>
    <w:p>
      <w:r>
        <w:t>En l'espèce, l'enquête [...] compte formellement pour parties R.________ et F.________, avec le statut de co-prévenus, ainsi que C.________, Groupe U.________ SA et Z.________ SA avec le statut de parties plaignantes, et I.________ avec le statut de dénonciateur. Bien qu'à ce stade des opérations, l'infraction de l'art. 258 CP vise le recourant ainsi que K.________, et non R.________, à qui sont reprochées des atteintes à l'honneur au préjudice de Z.________ SA, Groupe U.________ SA et C.________, il existe indiscutablement une unité du dossier, une connexité de faits et des infractions, si bien qu'il faut reconnaître un droit pour toutes ces parties de consulter l'ensemble du dossier conformément aux art. 101 al. 1 et 107 al. 1 let. a CPP. Cette appréciation est conforme à la jurisprudence récente du Tribunal fédéral (cf. TF 1B_56/2018 du 21 juin 2018, consid. 3). Ensuite, le recourant, qui fait valoir diverses conséquences négatives sur les plans personnel et professionnel, découlant selon lui de l'accès au dossier accordé jusqu'ici sans restriction aux parties précitées, dispose d'autres moyens de protection qu'offre le CPP, notamment de ses droits de la personnalité ou de secrets professionnels, comme la mise sous scellés de l'art. 248 CPP. Or le tri des pièces couvertes notamment par un secret professionnel relève de la compétence du Tribunal des mesures de contrainte (cf. ATF 143 IV 462). Une fois cette procédure effectuée, les pièces admises dans la procédure sont valablement versées au dossier et consultables par les parties. Certes, comme le soutient F.________, dans son arrêt du 17 avril 2018, la Cour de céans a relevé que les sociétés Z.________ SA et Groupe U.________ SA, qui avaient déposé des déterminations spontanées dans le cadre du recours interjeté par l'intéressé contre l’ordonnance de refus de retranchement de pièces rendue le 12 mars 2018 par le Ministère public, ne paraissaient toutefois pas revêtir la qualité de lésées au regard de l’art. 258 CP, ce qui avait conduit à ne pas leur reconnaître la qualité de parties dans la procédure d'appel. Or toute autre est la question de la qualité de partie en tant qu'elle peut ou non prendre des conclusions civiles, ou non, faute d'intérêt juridique. En effet, dans la situation présente, il n'est pas possible, sur la base du critère de la partie qui pourrait ou non prendre des conclusions civiles, décider que telle pièce est accessible à telle ou telle partie. Cela serait non seulement impraticable, mais surtout reviendrait à contourner les règles du CPP prévoyant la mise sous scellés, comme évoqué plus haut. Or cette procédure spécifique a déjà eu lieu devant le Tribunal des mesures de contrainte, et a abouti à l'ordonnance du 12 avril 2019. Donner suite à la demande du recourant reviendrait ainsi à se substituer à la compétence du Tribunal des mesures de contrainte, et à revoir sa décision, laquelle fait au demeurant l'objet d'un recours pendant au Tribunal fédéral (cf. P. 333/2/7). Le recourant peut également avoir recours à l'art. 108 CPP, prévoyant la restriction du droit d'une partie à être entendue – limitant le cas échéant son accès au dossier –, en cas d'abus de droit ou pour assurer la sécurité de personnes ou protéger des intérêts notamment privés. On ne saurait à cet égard considérer, comme l'allègue le recourant, que l'affaire, qui «oppose[rait] deux géants de l'immobilier», ne le concernerait pas du tout – alors qu'il est directeur de l'une des deux entités et soupçonné lui-même d'avoir fourni à R.________ des documents permettant d’annoncer faussement que la nappe phréatique située au-dessous de la gravière exploitée par le Groupe U.________ SA était gravement polluée. On ne saurait davantage admettre, pour la même raison, qu'il serait «instrumentalisé dans un combat qui ne le regarde[rait] pas». De surcroît, il y a lieu de constater que les motifs invoqués par le recourant à l'appui d'une éventuelle application de l'art. 108 CPP visent des parties qu'il décrit comme «opposées à son employeur» et que l'intéressé ne désigne pas expressément, laissant toutefois entendre qu'il pourrait s'agir des plaignantes, auxquelles il reproche d'être à l'origine de «fuites dans la presse» et de «campagnes de presse savamment orchestrées». Le recourant ne fournit cependant aucun élément susceptible d'étayer les motifs évoqués, mis à part un article du quotidien «[...]» datant du 13 novembre 2018, rendant compte d'«informations accablantes pour [...]» (P. 317/2/1), pas plus qu'il n'établit, ne serait-ce que sous l'angle de la vraisemblance, l'implication des plaignantes au regard des atteintes qu'il prétend subir par voie de presse ou d'une quelconque manière, ni ne fournit l'indice d'un quelconque abus de droit de leur part. Les conditions pour restreindre l'accès des parties au dossier de l'enquête en application de l'art. 108 CPP ne sont pas réunies. Enfin, le recourant peut solliciter la disjonction au sens de l'art. 30 CPP. Quant à l'art. 105 al. 2 CPP dont se prévaut également le recourant, il n'est pas applicable, le recourant ayant le statut de prévenu au sens de l'art. 104 CPP. Pour le surplus, la motivation du Procureur général est adéquate et peut être confirmée, l'admission de la demande du recourant tendant à rendre l'utilisation du dossier d'enquête impraticable puisque cela reviendrait à établir un tableau déterminant, pour chaque infraction, quelle partie aurait accès à quelle pièce.</w:t>
      </w:r>
    </w:p>
    <w:p>
      <w:r>
        <w:rPr>
          <w:b/>
        </w:rPr>
        <w:t>E. 3</w:t>
      </w:r>
    </w:p>
    <w:p>
      <w:r>
        <w:t>Il résulte de ce qui précède que le recours doit être rejeté sans autre échange d'écritures (art. 390 al. 2 CPP) et l’ordonnance attaquée confirmée. Les frais de la procédure de recours, constitués en l’espèce de l’émolument d’arrêt (art. 422 al. 1 CPP), par 1'100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23 avril 2019 est confirmée. III. Les frais de la procédure de recours, par 1'100 fr. (mille cent francs), sont mis à la charge de F._________. IV. L’arrêt est exécutoire. Le président :               Le greffier : Du Le présent arrêt, dont la rédaction a été approuvée à huis clos, est notifié, par l'envoi d'une copie complète, à : - Me Jérôme Bénédict, avocat (pour F.________), - M. le Procureur général du canton de Vaud, et communiqué à : - Me Elie Elkaïm, avocat (pour R.________), - Me Nicolas Gillard, avocat (pour U.________ SA et Groupe U.________ SA), - Me François Roux, avocat (pour C.________), - M. K.________, - Me Henri De Luze, avocat (pour H.________),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