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445 vom 29. Mai 2019</w:t>
      </w:r>
    </w:p>
    <w:p>
      <w:r>
        <w:t>VD Tribunal cantonal, 2019-05-29, FR</w:t>
      </w:r>
    </w:p>
    <w:p>
      <w:r>
        <w:rPr>
          <w:b/>
        </w:rPr>
        <w:t xml:space="preserve">Quelle: </w:t>
      </w:r>
      <w:r>
        <w:t>https://mcp.opencaselaw.ch/entscheid/vd_findinfo_D_cision___2019___445</w:t>
      </w:r>
    </w:p>
    <w:p>
      <w:r>
        <w:t>FR: VD_FINDINFO Décision / 2019 / 445 du 29 mai 2019</w:t>
      </w:r>
    </w:p>
    <w:p>
      <w:r>
        <w:t>IT: VD_FINDINFO Décision / 2019 / 445 del 29 maggio 2019</w:t>
      </w:r>
    </w:p>
    <w:p>
      <w:pPr>
        <w:pStyle w:val="Heading2"/>
      </w:pPr>
      <w:r>
        <w:t>Regeste</w:t>
      </w:r>
    </w:p>
    <w:p>
      <w:r>
        <w:t>RISQUE DE RÉCIDIVE | 221 al. 1 let. c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BLV 312.01]; art. 80 LOJV [loi vaudoise d’organisation judiciaire du 12 décembre 1979; BLV 173.01]). Conformément à l’art. 91 al. 4 CPP, le mémoire est réputé déposé en temps utile devant l’autorité de recours s’il est parvenu dans le délai à une autorité suisse incompétente, qui a le devoir de le transmettre sans retard à l’autorité compétente. En l’espèce, 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3</w:t>
      </w:r>
    </w:p>
    <w:p>
      <w:r>
        <w:t>En l’espèce, le Tribunal des mesures de contrainte a retenu les risques de réitération de délits graves et de passage à l’acte. L’autorité s’est fondée sur ses précédentes ordonnances, dont la deuxième a été confirmée par la Cour de céans. Un tel parti est licite à défaut, comme c’est le cas ici, de circonstances de nature à justifier une nouvelle appréciation de la situation (TF 1B_149/2010 du 1 er juin 2010 et les réf. cit.; CREP 23 août 2018/645 consid. 3.3; CREP 17 mai 2016/320 consid. 2.2.3). Pour sa part, le recourant affirme en substance qu’il n’y aurait aucun risque de réitération ou de passage à l’acte. Il soutient que, quoiqu’il estime que son épouse [...] ne l’aurait épousé que par intérêt et qu’elle manipulerait leur fille [...], âgée de six ans, il la respecterait en tant que mère de son enfant. Au surplus, on ne l’aurait mis en prison que parce qu’il était « le père [recte : le fils] d’un assassin », ce qui n’est « pas héréditaire ». Par ailleurs, il affirme qu’au plus profond de lui, il ne serait pas raciste, mais que, s’agissant des messages de haine et de racisme qu’il a publiés sur Facebook, il aurait « menacé ironiquement, comme Coluche l’aurait fait (sic) ». Il souhaite que la justice lui donne une chance de quitter la prison, où il se serait toujours bien comporté, pour lui permettre de se soigner et de reprendre contact avec sa fille qui aurait besoin de lui. Par cette argumentation, le recourant échoue à démontrer en quoi l’ordonnance entreprise reposerait sur une constatation incomplète ou erronée des faits ou procéderait d’une violation des principes juridiques applicables. Force est de constater, sur le vu du dossier, qu’il existe à l’encontre du recourant de sérieux soupçons de culpabilité portant sur la commission de délits graves, ce qu’il ne conteste d’ailleurs pas. Nonobstant les dénégations du recourant, le risque de récidive de délits graves, respectivement de passage à l’acte, compromettant sérieusement la sécurité d’autrui apparaît d’autant plus concret que le rapport d'expertise psychiatrique établi le 19 mars 2019 (P. 90) confirme les diagnostics retenus en 2016 – à savoir principalement un trouble de la personnalité paranoïaque avec traits impulsifs et dyssociaux, ainsi qu’un épisode dépressif de degré moyen, un syndrome de dépendance au cannabis avec utilisation continue et une utilisation d'alcool nocive pour la santé – et précise que le trouble de la personnalité du prévenu, qui est déterminant pour le risque de récidive, est trop envahissant pour permettre à l'heure actuelle d'espérer une évolution liée à un traitement, qu'il soit ambulatoire ou institutionnel. Au vu du dossier, notamment de l'expertise psychiatrique, aucune mesure de substitution n’apparaît propre à prévenir concrètement les risques constatés. La durée totale de la détention provisoire – dont la prolongation a été ordonnée pour une durée de deux mois, correspondant au temps nécessaire pour permettre à la direction de la procédure de clôturer l'enquête et de renvoyer la cause devant le Tribunal – respecte manifestement le principe de la proportionnalité, eu égard à la peine encourue par le recourant au vu de la gravité des faits qui lui sont reprochés et de ses antécédents.</w:t>
      </w:r>
    </w:p>
    <w:p>
      <w:r>
        <w:rPr>
          <w:b/>
        </w:rPr>
        <w:t>E. 4</w:t>
      </w:r>
    </w:p>
    <w:p>
      <w:r>
        <w:t>Il résulte de ce qui précède que le recours, manifestement mal fondé, doit être rejeté sans autres échanges d’écritures (art. 390 al. 2 CPP) et l’ordonnance du 21 mai 2019 confirmée. Les frais de la procédure de recours, constitués en l’espèce du seul émolument d'arrêt, par 990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21 mai 2019 est confirmée. III. Les frais d’arrêt, par 990 fr. (neuf cent nonante francs), sont mis à la charge du recourant. IV. L’arrêt est exécutoire. Le président :               Le greffier : Du Le présent arrêt, dont la rédaction a été approuvée à huis clos, est notifié, par l'envoi d'une copie complète, à : - M. I.________, - Me Manuela Ryter Godel, avocate (pour information), - Ministère public central, et communiqué à : - Mme la présidente du Tribunal des mesures de contrainte, - M. le procureur de l’arrondissement du Nord vaudois, - Prison de la Croisée, - Mme [...], - M. [...], - Me Matthieu Genillod, avocat (pour [...]), - Service de la population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