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442 vom 26. April 2019</w:t>
      </w:r>
    </w:p>
    <w:p>
      <w:r>
        <w:t>VD Tribunal cantonal, 2019-04-26, FR</w:t>
      </w:r>
    </w:p>
    <w:p>
      <w:r>
        <w:rPr>
          <w:b/>
        </w:rPr>
        <w:t xml:space="preserve">Quelle: </w:t>
      </w:r>
      <w:r>
        <w:t>https://mcp.opencaselaw.ch/entscheid/vd_findinfo_D_cision___2019___442</w:t>
      </w:r>
    </w:p>
    <w:p>
      <w:r>
        <w:t>FR: VD_FINDINFO Décision / 2019 / 442 du 26 avril 2019</w:t>
      </w:r>
    </w:p>
    <w:p>
      <w:r>
        <w:t>IT: VD_FINDINFO Décision / 2019 / 442 del 26 aprile 2019</w:t>
      </w:r>
    </w:p>
    <w:p>
      <w:pPr>
        <w:pStyle w:val="Heading2"/>
      </w:pPr>
      <w:r>
        <w:t>Regeste</w:t>
      </w:r>
    </w:p>
    <w:p>
      <w:r>
        <w:t>DÉNONCIATION CALOMNIEUSE, NON-LIEU, INFRACTIONS CONTRE LE DOMAINE SECRET | 179quater CP, 303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 BLV 312.01] ; art. 80 LOJV [loi vaudoise d’organisation judiciaire ; BLV 173.01]). Interjeté dans le délai légal auprès de l’autorité compétente par la partie plaignante, qui a la qualité pour recourir (cf.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(TF 6B_1238/2018 du 16 janvier 2019 consid. 3.1).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soutient que les éléments constitutifs de violation du domaine secret ou du domaine privé au moyen d’un appareil de prise de vues au sens de l’art. 179 quater CP seraient réunis. Elle conteste que l’altercation devant le jardin des époux Q.________ ait pu être visible sans autre par tout un chacun et fait valoir que le chemin du [...] serait situé sur sa parcelle et ferait l’objet d’une servitude de passage en faveur des parcelles situées en aval.</w:t>
      </w:r>
    </w:p>
    <w:p>
      <w:r>
        <w:rPr>
          <w:b/>
        </w:rPr>
        <w:t>E. 3.2</w:t>
      </w:r>
    </w:p>
    <w:p>
      <w:r>
        <w:t>Aux termes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Le domaine protégé par cette disposition ne comprend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414, JdT 1994 IV 79).</w:t>
      </w:r>
    </w:p>
    <w:p>
      <w:r>
        <w:rPr>
          <w:b/>
        </w:rPr>
        <w:t>E. 3.3</w:t>
      </w:r>
    </w:p>
    <w:p>
      <w:r>
        <w:t>En l’espèce, les premières images de la recourante ont été prises alors qu’elle se tenait derrière la clôture du jardin des époux Q.________, sur le terrain agricole qui jouxte leur parcelle. Force est de constater qu’elle se situait bien au-delà de l’espace protégé par l’art. 179 quater CP et qu’au surplus, ce terrain ne lui appartenait pas. Il en va de même s’agissant des images prises sur le chemin du [...]. La recourante se situe à proximité immédiate d’un couvert à voitures. Or, au vu du contexte des faits et de la pièce 16/2/3, celui-ci appartient manifestement aux époux Q.________. Dans les deux cas, il ne s’agit pas d’un lieu qui relèverait du domaine privé de la recourante. Le Ministère public pouvait donc d’emblée refuser d’entrer en matière. L’existence d’une servitude de passage ne modifie nullement cette appréciation.</w:t>
      </w:r>
    </w:p>
    <w:p>
      <w:r>
        <w:rPr>
          <w:b/>
        </w:rPr>
        <w:t>E. 4.1</w:t>
      </w:r>
    </w:p>
    <w:p>
      <w:r>
        <w:t>La recourante conteste ensuite le refus du Procureur d’entrer en matière sur sa plainte pour dénonciation calomnieuse. Elle fait valoir que les images au dossier ne corroboreraient nullement les accusations à son encontre, mais accréditeraient au contraire sa version selon laquelle l’altercation du 18 novembre 2018 aurait été provoquée par les époux Q.________ qui auraient déposé plainte contre elle dans un but purement chicanier.</w:t>
      </w:r>
    </w:p>
    <w:p>
      <w:r>
        <w:rPr>
          <w:b/>
        </w:rPr>
        <w:t>E. 4.2</w:t>
      </w:r>
    </w:p>
    <w:p>
      <w:r>
        <w:t>Le Procureur a considéré que compte tenu notamment des relations houleuses qu’entretenaient les intéressés, on ne pouvait établir que les époux Q.________ aient agi de manière sciemment infondée en déposant plainte contre F.________. A cet égard, le fait que les injures reprochées à cette dernière par les époux Q.________ ne fussent pas audibles sur les enregistrements produits ne permettait pas d’exclure qu’elles aient été prononcées avant ou après lesdits enregistrements. Ce raisonnement ne saurait être suivi. Le Procureur ne pouvait pas refuser d’entrer en matière sur la plainte de la recourante au motif qu’il n’était pas exclu qu’elle ait commis une infraction. Il convenait d’attendre le résultat de la plainte pénale déposée par les époux Q.________ contre la recourante avant de déterminer si les éléments constitutifs de l’art. 303 CP étaient réunis ou non. Le recours doit par conséquent être admis sur ce point et le dossier renvoyé au Ministère public pour qu’il procède dans le sens du considérant qui précède.</w:t>
      </w:r>
    </w:p>
    <w:p>
      <w:r>
        <w:rPr>
          <w:b/>
        </w:rPr>
        <w:t>E. 5.1</w:t>
      </w:r>
    </w:p>
    <w:p>
      <w:r>
        <w:t>Sous une rubrique « contexte général », après avoir accusé le Procureur J.________ de parti pris (recours, p. 4), la recourante relève que ce dernier a soutenu l’accusation dans une précédente affaire qui a conduit à sa condamnation en septembre 2016 et qu’il a formé appel contre un jugement rendu le 12 novembre 2018 dans une seconde affaire opposant les mêmes protagonistes que dans la présente cause. Elle conclut à ce que le dossier soit confié à un autre magistrat. Bien que ne le mentionnant pas formellement, cette conclusion doit être interprétée comme une demande de récusation.</w:t>
      </w:r>
    </w:p>
    <w:p>
      <w:r>
        <w:rPr>
          <w:b/>
        </w:rPr>
        <w:t>E. 5.2</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le rendre suspect de prévention ». L’art. 56 let. f CPP a la portée d’une clause générale recouvrant tous les motifs de récusation non expressément prévus aux lettres précédentes (ATF 143 IV 69 consid. 3.2 ; ATF 138 IV 142 consid. 2.1).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précité ; ATF 141 IV 178 consid. 3.2, JdT 2016 IV 247 ; ATF 138 IV 142 précité). S’agissant d’un représentant du ministère public, les exigences ne sont pas les mêmes pour un procureur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2016, nn. 19 ss ad rem. prél. aux art. 56 à 60 CPP). En particulier,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précité consid. 3.2.2 ; ATF 138 IV 142 précité ; TF 1B_426/2018 du 20 novembre 2018 consid. 2.2).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précité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et les références citées ; TF 1B_426/2018 précité). La garantie d’un juge impartial ne commande pas non plus la récusation d’un juge au simple motif qu’il a, dans une procédure antérieure – voire dans la même affaire –, tranché en défaveur du requérant (ATF 143 IV 69 précité consid. 3.1).</w:t>
      </w:r>
    </w:p>
    <w:p>
      <w:r>
        <w:rPr>
          <w:b/>
        </w:rPr>
        <w:t>E. 5.3</w:t>
      </w:r>
    </w:p>
    <w:p>
      <w:r>
        <w:t>En l’espèce, ni l’annulation de l’ordonnance de non-entrée en matière qu’il a rendue ni le fait qu’il ait instruit et soutenu l’accusation dans deux autres procédures pénales ouvertes contre la recourante ne fonde en soi une apparence objective de prévention de la part du Procureur J.________. Pour le surplus, la recourante n’invoque aucun autre élément. Par conséquent, confier le dossier à un autre magistrat ne se justifie pas.</w:t>
      </w:r>
    </w:p>
    <w:p>
      <w:r>
        <w:rPr>
          <w:b/>
        </w:rPr>
        <w:t>E. 6</w:t>
      </w:r>
    </w:p>
    <w:p>
      <w:r>
        <w:t>En définitive, le recours doit être partiellement admis et l’ordonnance du 11 février 2019 annulée en ce qui concerne l’infraction de dénonciation calomnieuse. Le dossier sera renvoyé au Procureur J.________ pour qu’il procède dans le sens des considérants qui précèdent. Les frais de la procédure de recours, constitués en l'espèce de l’émolument d’arrêt, par 990 fr. (art. 20 al. 1 TFIP [Tarif des frais de procédure et indemnités en matière pénale du 28 septembre 2010 ; BLV 312.03.1]), seront mis par moitié à la charge de la recourante, le solde étant laissé à la charge de l’Etat (art. 428 al. 1 CPP). Par ces motifs, la Chambre des recours pénale prononce : I. Le recours est partiellement admis. II. L’ordonnance du 11 février 2019 est annulée en ce qui concerne l’infraction de dénonciation calomnieuse. Elle est confirmée pour le surplus. III. Le dossier de la cause est renvoyé au Ministère public de l’arrondissement de La Côte pour qu’il procède dans le sens des considérants. IV. Les frais d’arrêt, par 990 fr. (neuf cent nonante francs), sont mis par 495 fr. (quatre cent nonante-cinq francs) à la charge de la recourante, le solde étant laissé à la charge de l’Etat. V. L’arrêt est exécutoire. Le président :               La greffière : Du Le présent arrêt, dont la rédaction a été approuvée à huis clos, est notifié, par l'envoi d'une copie complète, à : - Me Christian Dénériaz, avocat (pour F.________), - Me Marc-Etienne Favre, avocat (pour A.Q.________ et B.Q.________),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