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436 vom 22. Mai 2019</w:t>
      </w:r>
    </w:p>
    <w:p>
      <w:r>
        <w:t>VD Tribunal cantonal, 2019-05-22, FR</w:t>
      </w:r>
    </w:p>
    <w:p>
      <w:r>
        <w:rPr>
          <w:b/>
        </w:rPr>
        <w:t xml:space="preserve">Quelle: </w:t>
      </w:r>
      <w:r>
        <w:t>https://mcp.opencaselaw.ch/entscheid/vd_findinfo_D_cision___2019___436</w:t>
      </w:r>
    </w:p>
    <w:p>
      <w:r>
        <w:t>FR: VD_FINDINFO Décision / 2019 / 436 du 22 mai 2019</w:t>
      </w:r>
    </w:p>
    <w:p>
      <w:r>
        <w:t>IT: VD_FINDINFO Décision / 2019 / 436 del 22 maggio 2019</w:t>
      </w:r>
    </w:p>
    <w:p>
      <w:pPr>
        <w:pStyle w:val="Heading2"/>
      </w:pPr>
      <w:r>
        <w:t>Regeste</w:t>
      </w:r>
    </w:p>
    <w:p>
      <w:r>
        <w:t>DÉCISION D'IRRECEVABILITÉ, INTÉRÊT JURIDIQUEMENT PROTÉGÉ | 382 al. 1 CPP (CH)</w:t>
      </w:r>
    </w:p>
    <w:p>
      <w:pPr>
        <w:pStyle w:val="Heading2"/>
      </w:pPr>
      <w:r>
        <w:t>Erwägungen</w:t>
      </w:r>
    </w:p>
    <w:p>
      <w:r>
        <w:rPr>
          <w:b/>
        </w:rPr>
        <w:t>E. 7</w:t>
      </w:r>
    </w:p>
    <w:p>
      <w:r>
        <w:t>mai 2019, le Ministère public a procédé à l’audition d’A.________ en présence notamment de Me B.________ et de la collaboratrice de ce dernier, Me V.________. D’entrée de cause, A.________ a indiqué qu’il ne souhaitait pas que Me V.________ assiste à son audition, précisant en substance qu’il aurait requis que celle-ci soit entendue en qualité de témoin, qu’elle serait intervenue dans le cadre du travail du commissaire et qu’elle serait « au moins potentiellement » visée par les plaintes qu’il avait déposées. Rappelant qu’il avait déjà statué sur la question du droit des membres de l’étude T.________ de représenter Me B.________ et qu’un recours était pendant auprès de la Chambre des recours pénale, le Procureur a autorisé Me V.________ à assister à l’audition du prévenu. A.________ a déclaré séance tenante recourir contre cette décision (PV aud. 3, l. 41 à 46). L’audition d’A.________ s’est poursuivie le 8 mai 2019, toujours en présence de Me B.________ et de Me V.________. A cette occasion, le prévenu a requis qu’il soit fait interdiction à Me V.________ d’avoir accès à la procédure, requête que le Procureur a rejetée. A.________ a déclaré séance tenante qu’il recourait contre cette décision (PV aud. 4, l. 43 à 46). c) Par arrêt du 9 mai 2019 (n° 383), notifié le 16 mai suivant, la Chambre des recours pénale du Tribunal cantonal a déclaré le recours interjeté le 2 mai 2019 par A.________ contre l’ordonnance du 29 avril 2019 irrecevable. C. Le 9 mai 2019, le Ministère public a transmis à la Cour de céans copie des procès-verbaux des auditions d’A.________ des 7 et 8 mai 2019, comportant les deux déclarations de recours que ce dernier avait formées à ces occasions. En droit : 1. 1.1 Selon l’art. 382 al. 1 CPP,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2018 consid. 1.1). 1.2 Le recourant conteste que Me V.________, collaboratrice de Me  B.________, puisse représenter ce dernier et avoir accès à la procédure. Dans son recours du 2 mai 2019, il avait déjà contesté que la Fondation C.________ puisse être représentée non seulement par le commissaire nommé par l’autorité de surveillance, soit Me B.________, mais également par un membre de l’étude d’avocats au sein de laquelle ce dernier travaillait. Les nouveaux recours interjetés par A.________ ont donc le même objet que celui qu’il a déposé le 2 mai 2019. Or, ce dernier a été déclaré irrecevable par arrêt du 9 mai 2019, faute pour l’intéressé d’avoir un intérêt juridiquement protégé. Les recours interjetés les 7 et 8 mai 2019 doivent par conséquent connaître le même sort, pour les motifs retenus dans l’arrêt du 9 mai 2019, auquel il peut être renvoyé (CREP 9 mai 2019/383 consid. 1.3). 2. Il résulte de ce qui précède que les recours doivent être déclarés irrecevables.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2 e phrase, CPP). Par ces motifs, la Chambre des recours pénale prononce : I. Les recours sont irrecevables. II. Les frais d’arrêt, par 550 fr. (cinq cent cinquante francs), sont mis à la charge d’A.________. III. L’arrêt est exécutoire. Le président :               La greffière : Du Le présent arrêt, dont la rédaction a été approuvée à huis clos, est notifié, par l'envoi d'une copie complète, à : - M. A.________, - Ministère public central, et communiqué à : ‑ M. le Procureur du Ministère public central, division criminalité économique, - Me B.________, avocat (pour la Fondation C.________), - Me Bernard de Chedid, avocat (pour A.________), - Me Christian Dénériaz,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