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432 vom 6. Mai 2019</w:t>
      </w:r>
    </w:p>
    <w:p>
      <w:r>
        <w:t>VD Tribunal cantonal, 2019-05-06, FR</w:t>
      </w:r>
    </w:p>
    <w:p>
      <w:r>
        <w:rPr>
          <w:b/>
        </w:rPr>
        <w:t xml:space="preserve">Quelle: </w:t>
      </w:r>
      <w:r>
        <w:t>https://mcp.opencaselaw.ch/entscheid/vd_findinfo_D_cision___2019___432</w:t>
      </w:r>
    </w:p>
    <w:p>
      <w:r>
        <w:t>FR: VD_FINDINFO Décision / 2019 / 432 du 6 mai 2019</w:t>
      </w:r>
    </w:p>
    <w:p>
      <w:r>
        <w:t>IT: VD_FINDINFO Décision / 2019 / 432 del 6 maggio 2019</w:t>
      </w:r>
    </w:p>
    <w:p>
      <w:pPr>
        <w:pStyle w:val="Heading2"/>
      </w:pPr>
      <w:r>
        <w:t>Regeste</w:t>
      </w:r>
    </w:p>
    <w:p>
      <w:r>
        <w:t>RÉCUSATION, REJET DE LA DEMANDE | 56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Q.________ (art. 13 al. 1 LVCPP [loi d’introduction du Code de procédure pénale suisse du 19 mai 2009 ; BLV 312.01]), dans la mesure où celle-ci est dirigée contre un membre du ministère public.</w:t>
      </w:r>
    </w:p>
    <w:p>
      <w:r>
        <w:rPr>
          <w:b/>
        </w:rPr>
        <w:t>E. 2.1</w:t>
      </w:r>
    </w:p>
    <w:p>
      <w:r>
        <w:t>Q.________, par son défenseur, reproche à la Procureure une absence d’impartialité qui serait révélée par des erreurs lourdes et répétées, soit en substance : la taxation d’un émolument non dû, l’édition d’un mandat d’amener prétexte, sans avoir effectué de recherches sur son domicile et pour des faits qui n’auraient pas été traités dans l’audition qui l’a suivie, une célérité hors du commun pour procéder à son audition et moyennant une arrestation arbitraire soit sans cause valable, l’exigence d’une procuration superfétatoire, l’appel au prétendu remplaçant du défenseur du plaignant, sans aucun détail de la conversation, suscitant, avec d’autres éléments, l’interrogation sur la tenue du dossier et l’impartialité du Ministère public, le défaut d’une ordonnance de jonction, son audition en vue de la restitution des clés au plaignant et l’octroi à celui-ci d’une autorisation de réintégrer son allégué logement, le refus de procéder à une mise sous scellés déjà opérée, et, enfin, la conservation des clés sans ordonnance de séquestre, même orale, alors que deux courriers avaient été adressés à son défenseur.</w:t>
      </w:r>
    </w:p>
    <w:p>
      <w:r>
        <w:rPr>
          <w:b/>
        </w:rPr>
        <w:t>E. 2.2.1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w:t>
      </w:r>
    </w:p>
    <w:p>
      <w:r>
        <w:rPr>
          <w:b/>
        </w:rPr>
        <w:t>E. 2.2.2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TF 1B_512/2017 du 30 janvier 2018 consid. 3; TF 6B_540/2018 du 31 juillet 2018 consid. 2.2;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TF 1B_60/2014 du 1 er mai 2014 consid. 2.2 et les arrêts cités; JdT 2015 III 113;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w:t>
      </w:r>
    </w:p>
    <w:p>
      <w:r>
        <w:rPr>
          <w:b/>
        </w:rPr>
        <w:t>E. 2.3.1</w:t>
      </w:r>
    </w:p>
    <w:p>
      <w:r>
        <w:t>Dans un premier moyen, la requérante fait grief à la Procureure d’avoir adressé le dossier physique à son défenseur et de lui avoir facturé 50 fr. de frais.</w:t>
      </w:r>
    </w:p>
    <w:p>
      <w:r>
        <w:rPr>
          <w:b/>
        </w:rPr>
        <w:t>E. 2.3.2</w:t>
      </w:r>
    </w:p>
    <w:p>
      <w:r>
        <w:t>En l’occurrence, le défenseur de Q.________, qui a son étude à Genève, avait requis, pour plus de simplicité, une transmission électronique du dossier pénal. Une telle version n’existant pas, la Procureure lui a adressé le dossier physique à son étude et a appliqué le Tarif des frais de procédure et indemnités en matière pénale (TFIP ; BLV 312.03.1), qui prévoit à son art. 13 al. 2, la perception d’un émolument de 50 fr. en cas d’envoi par la poste. La Cour de céans ne discerne ainsi pas d’indice faisant redouter une activité partiale ou une quelconque prévention de la Procureure.</w:t>
      </w:r>
    </w:p>
    <w:p>
      <w:r>
        <w:rPr>
          <w:b/>
        </w:rPr>
        <w:t>E. 2.4.1</w:t>
      </w:r>
    </w:p>
    <w:p>
      <w:r>
        <w:t>Dans un second moyen, la requérante reproche à la magistrate la délivrance d’un mandat d’amener à son encontre, sans avoir tout mis en œuvre pour retrouver son adresse.</w:t>
      </w:r>
    </w:p>
    <w:p>
      <w:r>
        <w:rPr>
          <w:b/>
        </w:rPr>
        <w:t>E. 2.4.2</w:t>
      </w:r>
    </w:p>
    <w:p>
      <w:r>
        <w:t>Ce grief apparaît tardif (cf. consid. 2.2.2 supra). De toute manière, ici encore, la Cour de céans ne discerne, dans l’argumentation de la requérante, aucun indice faisant redouter une activité partiale ou une quelconque prévention de la magistrate. En effet, celle-ci a notamment indiqué que lors du contrôle effectué le 25 janvier 2019 auprès du Registre des personnes (P. 30), Q.________ était inscrite à son domicile de Saint-Livres, alors que selon les déclarations et pièces en sa possession, le bail de cet appartement avait été résilié en octobre 2019 (P. 21/2 p. 7). Ce n’est que le jour de son interpellation, le 15 avril 2019, que le Ministère public a eu connaissance de son adresse à Vevey, avec la précision toutefois que Q.________ n’est inscrite dans cette ville que depuis le 1 er mars 2019 chez M. [...] (P. 31) ; or, il semblerait que cette personne n’existe pas. C’est donc à bon droit que la direction de la procédure a délivré un mandat d’amener en application de l’art. 207 al. 1 let. b et c CPP. Le fait que ce mandat ait été initialement édité au motif de la plainte pénale de N.________ et [...] du 22 janvier 2019, n’empêchait au demeurant pas la police d’entendre Q.________ sur les faits objet de la seconde plainte pénale du 15 avril 2019, qui lui ont été communiqués au début de l’audition.</w:t>
      </w:r>
    </w:p>
    <w:p>
      <w:r>
        <w:rPr>
          <w:b/>
        </w:rPr>
        <w:t>E. 2.5.1</w:t>
      </w:r>
    </w:p>
    <w:p>
      <w:r>
        <w:t>Dans un troisième grief, la requérante reproche à la procureure l’exigence d’une procuration.</w:t>
      </w:r>
    </w:p>
    <w:p>
      <w:r>
        <w:rPr>
          <w:b/>
        </w:rPr>
        <w:t>E. 2.5.2</w:t>
      </w:r>
    </w:p>
    <w:p>
      <w:r>
        <w:t>Ce grief paraît tardif (cf. consid. 2.2.2 supra). De toute manière, la pratique vaudoise veut qu’une procuration soit versée au dossier en cas de défense de choix et on ne voit pas en quoi le fait de requérir une telle procuration constituerait une prévention de la part de la magistrate.</w:t>
      </w:r>
    </w:p>
    <w:p>
      <w:r>
        <w:rPr>
          <w:b/>
        </w:rPr>
        <w:t>E. 2.6.1</w:t>
      </w:r>
    </w:p>
    <w:p>
      <w:r>
        <w:t>Q.________ soutient que l’absence de notes de conversation entre le Ministère public et les avocats notamment, susciteraient l’interrogation sur la tenue du dossier et l’impartialité du Ministère public.</w:t>
      </w:r>
    </w:p>
    <w:p>
      <w:r>
        <w:rPr>
          <w:b/>
        </w:rPr>
        <w:t>E. 2.6.2</w:t>
      </w:r>
    </w:p>
    <w:p>
      <w:r>
        <w:t>En l’occurrence, comme le relève à juste titre la magistrate, il n’est pas exceptionnel que les avocats s’entretiennent directement avec les procureurs. Les résumés de ces conversations figurent au procès-verbal des opérations. On ne voit ici encore aucune erreur de la Procureure.</w:t>
      </w:r>
    </w:p>
    <w:p>
      <w:r>
        <w:rPr>
          <w:b/>
        </w:rPr>
        <w:t>E. 2.7.1</w:t>
      </w:r>
    </w:p>
    <w:p>
      <w:r>
        <w:t>La requérante soutient que son audition en vue de la restitution des clefs au plaignant et l’octroi à celui-ci d’une autorisation de réintégrer son allégué logement afficherait un grave parti pris.</w:t>
      </w:r>
    </w:p>
    <w:p>
      <w:r>
        <w:rPr>
          <w:b/>
        </w:rPr>
        <w:t>E. 2.7.2</w:t>
      </w:r>
    </w:p>
    <w:p>
      <w:r>
        <w:t>Ce grief parait tardif (cf. consid. 2.2.2 supra), étant cependant précisé que les explications de la Procureure, qui avait considéré que N.________ ne commettait pas d’infraction pénale en retournant dans le logement qu’il occupait depuis plusieurs mois, ne prêtent pas le flanc à la critique. On ne voit de toute manière pas en quoi l’autorisation à N.________ de réintégrer ce logement constituerait un indice de prévention.</w:t>
      </w:r>
    </w:p>
    <w:p>
      <w:r>
        <w:rPr>
          <w:b/>
        </w:rPr>
        <w:t>E. 2.8.1</w:t>
      </w:r>
    </w:p>
    <w:p>
      <w:r>
        <w:t>La requérante reproche encore à la Procureure l’absence d’ouverture d’instruction ou d’ordonnance de jonction suite à la plainte pénale du 15 avril 2019 déposée par N.________.</w:t>
      </w:r>
    </w:p>
    <w:p>
      <w:r>
        <w:rPr>
          <w:b/>
        </w:rPr>
        <w:t>E. 2.8.2</w:t>
      </w:r>
    </w:p>
    <w:p>
      <w:r>
        <w:t>Ici encore, on ne voit pas en quoi le fait de ne pas avoir immédiatement décidé de l’ouverture d’une instruction après la réception de la copie de la plainte du 15 avril 2019, dont l’original n’est parvenu à la Procureure que le 26 avril 2018, démontrerait un parti pris en défaveur de Q.________, étant précisé que les explications de la magistrate, qui indique que dans la mesure où la demande de récusation lui est parvenue le 25 avril 2019, elle a renoncé à compléter l’ouverture d’instruction jusqu’à ce qu’il soit statué sur celle-là, sont pertinentes.</w:t>
      </w:r>
    </w:p>
    <w:p>
      <w:r>
        <w:rPr>
          <w:b/>
        </w:rPr>
        <w:t>E. 2.9.1</w:t>
      </w:r>
    </w:p>
    <w:p>
      <w:r>
        <w:t>La requérante critique le refus de la magistrate de procéder à une mise sous scellés.</w:t>
      </w:r>
    </w:p>
    <w:p>
      <w:r>
        <w:rPr>
          <w:b/>
        </w:rPr>
        <w:t>E. 2.9.2</w:t>
      </w:r>
    </w:p>
    <w:p>
      <w:r>
        <w:t>Ce grief paraît tardif (cf. consid. 2.2.2 supra). On précisera toutefois que la Procureure a estimé que les conditions d’une mise sous scellés des clés n’étaient pas réalisées et que, si cette appréciation déplait à la défense, elle ne constitue en soi pas un motif de récusation au sens de l’art. 56 CPP. S’agissant d’une décision (P. 11), elle était, le cas échéant, susceptible d’un recours auprès de la présente Cour.</w:t>
      </w:r>
    </w:p>
    <w:p>
      <w:r>
        <w:rPr>
          <w:b/>
        </w:rPr>
        <w:t>E. 2.10</w:t>
      </w:r>
    </w:p>
    <w:p>
      <w:r>
        <w:t>Enfin, le motif de récusation complémentaire soulevé par Q.________ dans le courriel de son défenseur du 25 avril 2019 (P. 29/1) est également mal fondé. On ne saurait voir un indice de prévention de la magistrate dans le fait qu’une pièce, soit un courriel de Me Mattia Deberti du 11 février 2019, ait été enregistrée deux fois. Au demeurant, cette erreur a été immédiatement rectifiée de manière explicite.</w:t>
      </w:r>
    </w:p>
    <w:p>
      <w:r>
        <w:rPr>
          <w:b/>
        </w:rPr>
        <w:t>E. 2.11</w:t>
      </w:r>
    </w:p>
    <w:p>
      <w:r>
        <w:t>Ainsi, on ne discerne pas, dans les griefs développés, le moindre indice objectif susceptible d’établir que la Procureure en charge de l’affaire ferait preuve de prévention. Il n’existe en effet aucun élément qui démontre que la magistrate aurait commis des fautes dans la conduite du dossier, de surcroît graves et répétées ; en revanche, il est constaté que les éléments contenus dans la requête de récusation, pris dans leur ensemble, paraissent excéder le niveau admissible de critique et de provocation fixé par la jurisprudence (TF 2C_907/2017 du 13 mars 2018, SJ 2019 I 76 ; TF 5D_56/2018 du 18 juillet 2018 ; SJ 2017 I 97), la requérante critiquant de manière répétée et infondée l’instruction en cours, et laissant sous-entendre que la Procureure serait incompétente, ce qui n’est pas admissible. 3. Il résulte de ce qui précède que la demande de récusation, non seulement mal fondée, mais également téméraire, doit être rejetée dans la mesure de sa recevabilité. Les frais de la présente décision (art. 422 al. 1 CPP), par 1'210 fr. (art. 20 al. 1 TFIP [Tarif des frais de procédure et indemnités en matière pénale du 28 septembre 2010 ; BLV 312.03.1]), seront mis à la charge de la requérante, qui succombe (art. 59 al. 4, 2 e phrase, CPP). Par ces motifs, la Chambre des recours pénale prononce : I. La demande de récusation présentée le 24 avril 2019 par Q.________ est rejetée dans la mesure où elle est recevable. II. Les frais de la décision, par 1’210 fr. (mille deux cent dix francs), sont mis à la charge de la requérante. III. La décision est exécutoire. Le président :               La greffière : Du La présente décision, dont la rédaction a été approuvée à huis clos, est notifiée, par l'envoi d'une copie complète, à : - Me Claude Aberle, avocat (pour Q.________),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2.1;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ATF 141 IV 178, JdT 2016 IV 247;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 cit.). En particulier, n'emportent pas prévention une décision défavorable à une partie (TF 1B_365/2009 du 22 mars 2010 consid. 3.3) ou un refus d'administrer une preuve (ATF 116 Ia 135; Verniory, in : Kuhn/Jeanneret [éd.], Code de procédure pénale suisse, Commentaire romand, Bâle 2011, n. 35 ad art. 56 CPP, p.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