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422 vom 21. Mai 2019</w:t>
      </w:r>
    </w:p>
    <w:p>
      <w:r>
        <w:t>VD Tribunal cantonal, 2019-05-21, FR</w:t>
      </w:r>
    </w:p>
    <w:p>
      <w:r>
        <w:rPr>
          <w:b/>
        </w:rPr>
        <w:t xml:space="preserve">Quelle: </w:t>
      </w:r>
      <w:r>
        <w:t>https://mcp.opencaselaw.ch/entscheid/vd_findinfo_D_cision___2019___422</w:t>
      </w:r>
    </w:p>
    <w:p>
      <w:r>
        <w:t>FR: VD_FINDINFO Décision / 2019 / 422 du 21 mai 2019</w:t>
      </w:r>
    </w:p>
    <w:p>
      <w:r>
        <w:t>IT: VD_FINDINFO Décision / 2019 / 422 del 21 maggio 2019</w:t>
      </w:r>
    </w:p>
    <w:p>
      <w:pPr>
        <w:pStyle w:val="Heading2"/>
      </w:pPr>
      <w:r>
        <w:t>Regeste</w:t>
      </w:r>
    </w:p>
    <w:p>
      <w:r>
        <w:t>DÉTENTION PROVISOIRE, RISQUE DE COLLUSION, SOUPÇON, MESURE DE SUBSTITUTION À LA DÉTENTION | 221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Le recourant invoque une constatation incomplète des faits.</w:t>
      </w:r>
    </w:p>
    <w:p>
      <w:r>
        <w:rPr>
          <w:b/>
        </w:rPr>
        <w:t>E. 2.2</w:t>
      </w:r>
    </w:p>
    <w:p>
      <w:r>
        <w:t>Conformément à l'art. 393 al. 2 CPP, le recours peut notamment être formé pour violation du droit, y compris l'excès et l'abus du pouvoir d'appréciation, ainsi que pour constatation incomplète ou erronée des faits.</w:t>
      </w:r>
    </w:p>
    <w:p>
      <w:r>
        <w:rPr>
          <w:b/>
        </w:rPr>
        <w:t>E. 2.3</w:t>
      </w:r>
    </w:p>
    <w:p>
      <w:r>
        <w:t>En l'occurrence, s'il y a bien lieu de tenir compte de certains faits invoqués par le recourant, cela ne change toutefois rien au résultat. Ainsi, la lettre du conseil du prévenu du 1 er mai 2019 à la CAAB, produite devant le Tribunal des mesures de contrainte (P. 19/2/4), fait uniquement état de son intention annoncée de charger une fiduciaire de procéder au «bouclement final» de la comptabilité de son ancienne activité d’agent d’affaires, ce qui n’équivaut nullement à «spontanément offrir à la CAAB de procéder à une expertise de sa situation comptable» comme le soutient le recourant, d’une estimation d’honoraires à facturer de 400'000 fr. – qui sont loin de couvrir les montants dont le détournement est reproché (cf. consid. 3.3.1 infra) –, et d’un investissement privé qui devait lui permettre à très brève échéance de percevoir un montant de 500'000 fr. – qui est loin d’être suffisant pour couvrir les montants dont le détournement est reproché (cf. consid. 3.3.1 infra) –, permettant de couvrir d’éventuelles dettes. Tout cela pris en considération, on ne saurait en déduire une «volonté de collaborer», comme soutient le recourant, qui exclurait tout risque de collusion et encore moins «l’absence de volonté délictuelle». S'il y a lieu également de mentionner que des audiences se sont tenues devant la CAAB au sujet de la fin de l’activité du prévenu en présence de ses suppléants mais sans que lui-même ou ses conseils en aient été avisés, aux yeux de la Cour de céans, la manière dont la procédure s’est déroulée devant la CAAB n’est pas déterminante dans le cadre de la procédure pénale, ni le fait que des éléments qui sont ressortis des investigations de la CAAB fondent les soupçons qui ont justifié la mise en détention provisoire de l’intéressé. En effet, il n’est pas prétendu qu’il s’agirait de preuves qui ont été administrées d’une manière illicite ou en violation de règles de validité par les autorités pénales, au sens de l’art. 141 al. 2 CPP.</w:t>
      </w:r>
    </w:p>
    <w:p>
      <w:r>
        <w:rPr>
          <w:b/>
        </w:rPr>
        <w:t>E. 3.1</w:t>
      </w:r>
    </w:p>
    <w:p>
      <w:r>
        <w:t>Le recourant fait valoir que le dossier ne contiendrait pas d'indice sérieux de culpabilité à son égard. Il soutient que le soupçon d'infractions graves pesant sur lui reposerait uniquement sur la dénonciation de la CAAB du 9 mai 2019, qui rapporterait des propos «incertains et non vérifiés» des suppléants. Cette dénonciation mériterait d'être appréciée avec retenue, d'une part en raison du fait que les suppléants à l'origine des accusations dirigées contre lui connaîtraient un grave conflit d'intérêts entre leurs intérêts personnels liés à la reprise de clients importants et les intérêts à défendre en leur qualité de suppléants, d'autre part en raison de la violation par la CAAB de son droit d'être entendu.</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Schmocker, Commentaire romand, Code de procédure pénale suisse, Bâle 2011, nn. 7 ss ad art. 221 CPP).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ATF 116 la 413 consid. 3c; TF 1B_423/2010 du 17 janvier 2011 consid. 4.1). A teneur de l’art. 221 al. 1 CPP, la détention provisoire suppose que le prévenu soit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1B_276/2018 du 27 juin 2018 consid. 2.2).</w:t>
      </w:r>
    </w:p>
    <w:p>
      <w:r>
        <w:rPr>
          <w:b/>
        </w:rPr>
        <w:t>E. 3.3.1</w:t>
      </w:r>
    </w:p>
    <w:p>
      <w:r>
        <w:t>En l'espèce, le Tribunal des mesures de contrainte a déduit de la dénonciation de la CAAB que le prévenu avait vraisemblablement utilisé les fonds de ses clients à des fins privées, ce depuis l’année 2017 à tout le moins et jusqu’à la fin de son activité comme agent d’affaires breveté le 22 février 2019, notamment pour satisfaire son goût pour les voitures de luxe. Même en tenant compte d’une «compensation» avec un droit aux honoraires, le premier juge a considéré que c’était un minimum de quelque 2'220'000 fr. qui pourrait être dû, somme que le prévenu paraissait être dans l’incapacité d’acquitter, étant rappelé que le solde du CCP de son étude se montait à 173'328 fr. (valeur au 2 mai 2019), et que le produit de la vente de ses voitures ne paraissait pas susceptible d’atteindre cette somme. Par ailleurs, le premier juge a estimé qu’à aucun moment, pendant cette période, le prévenu ne semblait avoir été en mesure de rembourser, en tout temps, les montants concernés, celui-ci n’ayant au demeurant présenté aucun document comptable susceptible d’établir le contraire. Pour le Tribunal des mesures de contrainte, il paraissait vraisemblable que le prévenu, à la fin de son mandat, ait procédé à de très nombreux encaissements pour le compte de ses clients, qu’il n’avait pas mentionnés dans ses notes d’honoraires et, ainsi, pas restitués aux clients, ou à la partie adverse. En outre, il semblait avoir continué à encaisser des montants après la fin de son mandat, sans en référer à ses anciens clients, et par conséquent sans, dans ce cas également, restituer ces montants à leur véritable ayant droit. Ensuite, le premier juge a considéré que les sommes concernées, impossibles à estimer en l’état, pourraient être substantielles, sachant que sur un échantillon de dix dossiers, pris au hasard de la consultation, le préjudice dépassait les 100'000 fr., relevant encore que le prévenu avait admis devant le Procureur que ses comportements n'avaient pas été corrects, même s'il les avait relativisés après coup. Le premier juge a également tenu pour vraisemblable que, postérieurement à la fin de son activité d’agent d’affaires breveté le 22 février 2019, le prévenu avait envoyé des notes d’honoraires à ses anciens clients, libellées au nom de [...], société qu’il avait fondée dernièrement et dont il était l’administrateur unique, ce en indiquant les coordonnées bancaires de cette société, et non celles du CCP de son ancienne étude. De ce fait, les actifs qui devaient revenir à son ancienne étude avaient bénéficié à une société tierce. Ces faits étaient étayés par des témoignages de clients selon la dénonciation du CAAB, et il n’existait aucune raison d’en douter. De plus, le premier juge a retenu que le prévenu avait attesté, dans un acte du 22 février 2019 adressé à la CAAB, qu’il avait cessé sa pratique d’agent d’affaires et qu’il avait dorénavant confié tous ses dossiers à d’autres mandataires, ce qu’il n’avait pas fait en réalité. A cette date, il n’avait d’ailleurs bouclé aucun de ses dossiers, faute de temps selon ses dires. Par ailleurs, le premier juge a retenu que le prévenu aurait continué à se prévaloir, après le 22 février 2019, ce à de multiples reprises, de son titre d’agent d’affaires breveté, et à agir à titre professionnel dans des domaines où cette représentation lui était désormais prohibée, ce même sous la commination de l’amende prévue à l’art. 292 CP signifiée le 4 mars 2019 par la CAAB. Il aurait également passé outre à la sommation de coopérer avec ses suppléants, selon décision de la même CAAB du 7 mars 2019, au point que deux décisions d’exécution forcée avaient dû être rendues. Enfin, le premier juge a souligné qu'au moment de la dénonciation de la CAAB, les suppléants faisaient toujours état qu’ils n’étaient pas en possession de tous les dossiers et ne disposaient toujours pas d’un accès complet au système informatique. Aucun élément au dossier ne permettait ainsi de se démarquer de ce constat commun à trois agents d’affaires brevetés. Compte tenu de ce qui précède, il existait, aux yeux du Tribunal des mesures de contrainte, de sérieux indices de commission de graves délits imputables à Z.________.</w:t>
      </w:r>
    </w:p>
    <w:p>
      <w:r>
        <w:rPr>
          <w:b/>
        </w:rPr>
        <w:t>E. 3.3.2</w:t>
      </w:r>
    </w:p>
    <w:p>
      <w:r>
        <w:t>En l'occurrence, l'appréciation du premier juge ne peut qu’être confirmée au vu des éléments du dossier. Contrairement à ce que soutient le recourant, on ne saurait admettre que les soupçons reposeraient à ce stade uniquement sur une dénonciation de la CAAB du 9 mai 2019, ni que celle-ci rapporterait des propos incertains et non vérifiés de suppléants qui connaîtraient au demeurant un grave conflit d’intérêts avec le prévenu. En effet, les agissements de l'intéressé, dénoncés de manière concordante par les trois suppléants – dont on ne voit pas quel intérêt ils auraient à charger le recourant dans la mesure où celui-ci a lui-même indiqué qu’il abandonnait définitivement son activité d’agent d’affaires breveté de même que tous mandats à travers sa société, se déclarant «grillé » dans le monde des affaires, de sorte que les mandats du recourant devront de toute manière être repris par d’autres agents d’affaires, singulièrement par les suppléants désignés par la CAAB – ne l’ont pas été de manière incertaine et non vérifiée, mais bien sur la base de nombreuses pièces dûment produites devant la CAAB et figurant au dossier pénal. Enfin, la prétendue violation du droit d’être entendu dénoncée par le recourant, pour n’avoir pas été associé à toutes les opérations entreprises par la CAAB, n’a aucune incidence sur la procédure pénale, comme déjà dit (cf. consid. 2.3 supra). La première condition de la mise en détention provisoire posée par l’art. 221 al. 1 CPP est par conséquent réalisée.</w:t>
      </w:r>
    </w:p>
    <w:p>
      <w:r>
        <w:rPr>
          <w:b/>
        </w:rPr>
        <w:t>E. 4.1</w:t>
      </w:r>
    </w:p>
    <w:p>
      <w:r>
        <w:t>Le recourant conteste l’existence d’un risque de collusion.</w:t>
      </w:r>
    </w:p>
    <w:p>
      <w:r>
        <w:rPr>
          <w:b/>
        </w:rPr>
        <w:t>E. 4.2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w:t>
      </w:r>
    </w:p>
    <w:p>
      <w:r>
        <w:rPr>
          <w:b/>
        </w:rPr>
        <w:t>E. 4.3</w:t>
      </w:r>
    </w:p>
    <w:p>
      <w:r>
        <w:t>Dans le cas particulier, comme l’indique le Ministère public dans la requête de mise en détention du 11 mai 2019, l’enquête en est à son commencement et le prévenu a toujours accès, en l'état, à ses systèmes informatiques, par l'intermédiaire de sa nouvelle société. Il est fortement à craindre qu'il ait déjà modifié un certain nombre d'éléments de son inventaire des dossiers (voir not. P. 5, annexe 2A). Par ailleurs, le personnel de son étude, respectivement de la société anonyme, doit être entendu, en particulier les secrétaires, afin de connaître son mode de fonctionnement, tant pour la gestion des dossiers que celle de la facturation, le prévenu ayant vraisemblablement trouvé plusieurs moyens de faire croire à ses clients qu'il leur avait rétrocédé l'entier de ce qui leur est dû, alors que selon toute vraisemblance il gardait d'importantes sommes pour lui. En outre, de très nombreuses personnes paraissent avoir été lésées par les agissements du prévenu, tant au sein de sa clientèle qu'au sein des parties adverses. Il faut ainsi également procéder à l'audition de certains clients, ceux-ci devant être préservés de toute influence de la part du prévenu. Dès lors, il est inexact d’affirmer, comme le fait le recourant, que «l’instruction de la présente affaire pénale reposera essentiellement sur l’analyse, à charge et à décharge, de pièces comptables ou de documents financiers qui sont déjà en possession des autorités pénales» et que «les mesures d’instruction à intervenir (…), spécialement l’audition de son personnel, sont manifestement secondaires puisque les pièces critiques et essentielles sont d’ores et déjà en possession de l’autorité pénale». Au contraire, il apparaît que l’autorité pénale n’a pas encore eu accès à l’ensemble des documents nécessaires, sur lesquels il existe encore un risque de collusion concret, et que les auditions non seulement des secrétaires du prévenu – auxquelles il ne saurait être reproché au Ministère public de n’avoir pas encore procédé puisque l’instruction vient à peine d’être ouverte – mais également de certains clients seront indispensables pour élucider les faits, comme exposé ci-dessus. Le risque de collusion est d’autant plus concret à cet égard qu’il ressort du dossier que le prévenu – qui se borne à affirmer le contraire de manière absolument non étayée ni convaincante – a refusé de collaborer avec ses suppléants et a contraint la CAAB à recourir à deux reprises à des mesures d’exécution forcée. Par ailleurs, on ne voit pas en quoi le fait que la réputation professionnelle du recourant soit «anéantie» l’empêcherait de parvenir à influencer des témoins.</w:t>
      </w:r>
    </w:p>
    <w:p>
      <w:r>
        <w:rPr>
          <w:b/>
        </w:rPr>
        <w:t>E. 6.1</w:t>
      </w:r>
    </w:p>
    <w:p>
      <w:r>
        <w:t>Le recourant conteste également l’existence d’un risque de réitération dès lors qu'il n'aurait plus d’outil de travail, ni aucun dossier, ni aucun client, ni même aucun accès informatique, et qu’il n’aurait plus accès aux comptes bancaires ou postaux de son ancienne étude.</w:t>
      </w:r>
    </w:p>
    <w:p>
      <w:r>
        <w:rPr>
          <w:b/>
        </w:rPr>
        <w:t>E. 6.2</w:t>
      </w:r>
    </w:p>
    <w:p>
      <w:r>
        <w:t>Selon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TF 1B_10/2017 du 26 janvier 2017 consid. 4.1).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 premier lieu les délits contre l'intégrité corporelle et sexuelle qui sont visés (ATF 143 IV 9 précité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précité consid. 2.8). Le risque de récidive peut également se fonder sur les infractions faisant l'objet de la procédure pénale en cours, si le prévenu est fortement soupçonné – avec une probabilité confinant à la certitude – de les avoir commises (ATF 137 IV 84 consid. 3.2 et les références citées, JdT 2011 IV 325). En général, la mise en danger de la sécurité d'autrui est d'autant plus grande que les actes redoutés sont graves. En revanche, le rapport entre gravité et exigences pour admettre le risque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w:t>
      </w:r>
    </w:p>
    <w:p>
      <w:r>
        <w:rPr>
          <w:b/>
        </w:rPr>
        <w:t>E. 6.3</w:t>
      </w:r>
    </w:p>
    <w:p>
      <w:r>
        <w:t>L’existence d’un risque de collusion dispense en soi d’examiner le risque de réitération, les conditions posées par l'art. 221 CPP étant alternatives (TF 1B_242/2016 du 21 juillet 2016 consid. 5). Toutefois, avec le premier juge, la Cour de céans constate que les comportements pénalement répréhensibles reprochés au prévenu s'inscrivent dans la durée, et ce même après que celui-ci a renoncé officiellement à l'exercice de sa profession d'agent d'affaires. L'intéressé semble également avoir poursuivi ses agissements nonobstant la commination prévue à l'art. 292 CP. Ensuite, son train de vie élevé et les limitations qui sont désormais les siennes pour assurer son maintien laissent craindre de nouveaux délits, à plus forte raison qu'il n'est pas exclu qu'il cherche à conserver des accès à certains dossiers de ses anciens clients, entre autres. De plus, comme l'a retenu à juste titre le premier juge, l'intéressé a soutenu, lors de sa comparution devant le Procureur une argumentation du type «pas vu pas pris» (cf. PV aud. 1, lignes 174 ss), estimant ne pas devoir aux lésés des montants dont ils auraient certes été frustrés, mais dont ils n'auraient pas eu connaissance, ce qui laisse supposer une prise de conscience limitée et un amendement peu abouti, même si, lors de sa comparution devant le Tribunal des mesures de contrainte, le prévenu a fait valoir qu'il s'était mal exprimé à ce sujet. Si les circonstances supposées écarter le risque de réitération invoquées par le recourant ne sont pas dénuées de pertinence, celles-ci ne l’empêcheraient pas de récidiver en contactant à nouveau d’anciens clients ou en démarchant de nouveaux clients avec une nouvelle infrastructure, même légère et pourvue d'un nouveau système informatique, ce qu’on peut concrètement craindre dès lors qu’il semble avoir poursuivi ses agissements nonobstant la commination prévue à l'art. 292 CP. Le risque de réitération est donc concret.</w:t>
      </w:r>
    </w:p>
    <w:p>
      <w:r>
        <w:rPr>
          <w:b/>
        </w:rPr>
        <w:t>E. 7.1</w:t>
      </w:r>
    </w:p>
    <w:p>
      <w:r>
        <w:t>Le recourant se plaint enfin d’une violation du principe de la proportionnalité. Il soutient que les mesures de substitution qu'il a proposées seraient suffisantes pour pallier les risques retenus.</w:t>
      </w:r>
    </w:p>
    <w:p>
      <w:r>
        <w:rPr>
          <w:b/>
        </w:rPr>
        <w:t>E. 7.2</w:t>
      </w:r>
    </w:p>
    <w:p>
      <w:r>
        <w:t>Conformément au principe de la proportionnalité (art. 36 al. 3 Cst. [Constitution fédérale de la Confédération suisse du 18 avril 1999; RS 101];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Schmocker, op. cit., n. 2 ad art. 237 CPP).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précité).</w:t>
      </w:r>
    </w:p>
    <w:p>
      <w:r>
        <w:rPr>
          <w:b/>
        </w:rPr>
        <w:t>E. 7.3</w:t>
      </w:r>
    </w:p>
    <w:p>
      <w:r>
        <w:t>En l'occurrence, le premier juge a considéré que les mesures de substitution proposées par le prévenu, lequel a fait encore état de projets dans un tout autre domaine professionnel, n'étaient pas suffisantes pour pallier les risques retenus. Cette appréciation ne peut qu’être partagée, n’en déplaise au recourant. En effet, au vu de la manière dont l'intéressé s’est comporté jusqu’ici, il est fortement à craindre qu'il ne respecte pas les simples interdictions – notamment de contact – qui pourraient être ordonnées. De même, la mise sous garde de son serveur informatique et la suppression de tous ses accès aux systèmes informatiques de son ancienne Etude, qui n'ont de sens qu'au regard du risque de collusion, seraient inopérantes s'agissant du risque de réitération. Pour le surplus, si les soupçons à l’encontre du recourant devaient se confirmer, celui-ci s’exposerait concrètement, au regard de la gravité des accusations portées contre lui, à une peine privative de liberté nettement supérieure à la période de détention provisoire qu’il aura subie le 11 août 2019. Partant, le principe de la proportionnalité demeure respecté.</w:t>
      </w:r>
    </w:p>
    <w:p>
      <w:r>
        <w:rPr>
          <w:b/>
        </w:rPr>
        <w:t>E. 8</w:t>
      </w:r>
    </w:p>
    <w:p>
      <w:r>
        <w:t>En définitive, le recours, manifestement mal fondé, doit être rejeté sans autre échange d’écritures (art. 390 al. 2 CPP) et l’ordonnance attaquée confirmée. Les frais de la procédure de recours, constitués en l’espèce du seul émolument d’arrêt, par 1'650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13 mai 2019 est confirmée. III. Les frais d'arrêt, par 1'650 fr. (mille six cent cinquante francs), sont mis à la charge du recourant. IV. L’arrêt est exécutoire. Le président :               Le greffier : Du Le présent arrêt, dont la rédaction a été approuvée à huis clos, est notifié, par l'envoi d'une copie complète, à : - Mes Xavier Pétremand et Julie Hautdidier-Locca, avocats (pour Z.________), - Ministère public central, et communiqué à : - M. le Président du Tribunal des mesures de contrainte, - M. le Procureur du Ministère public central, division affaires spéciales,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