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 vom 21. Dezember 2018</w:t>
      </w:r>
    </w:p>
    <w:p>
      <w:r>
        <w:t>VD Tribunal cantonal, 2018-12-21, FR</w:t>
      </w:r>
    </w:p>
    <w:p>
      <w:r>
        <w:rPr>
          <w:b/>
        </w:rPr>
        <w:t xml:space="preserve">Quelle: </w:t>
      </w:r>
      <w:r>
        <w:t>https://mcp.opencaselaw.ch/entscheid/vd_findinfo_D_cision___2019___4</w:t>
      </w:r>
    </w:p>
    <w:p>
      <w:r>
        <w:t>FR: VD_FINDINFO Décision / 2019 / 4 du 21 décembre 2018</w:t>
      </w:r>
    </w:p>
    <w:p>
      <w:r>
        <w:t>IT: VD_FINDINFO Décision / 2019 / 4 del 21 dicembre 2018</w:t>
      </w:r>
    </w:p>
    <w:p>
      <w:pPr>
        <w:pStyle w:val="Heading2"/>
      </w:pPr>
      <w:r>
        <w:t>Regeste</w:t>
      </w:r>
    </w:p>
    <w:p>
      <w:r>
        <w:t>HOMICIDE PAR NÉGLIGENCE, CLASSEMENT DE LA PROCÉDURE, ADAPTATION DE LA VITESSE, CONDITIONS DE CIRCULATION, CYCLE, PIÉTON, DILIGENCE, QUALITÉ POUR RECOURIR, INTÉRÊT JURIDIQUEMENT PROTÉGÉ | 117 CP, 31 al. 1 LCR, 32 al. 1 LCR, 4 OCR,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le recours a été interjeté en temps utile auprès de l’autorité compétente, par la partie plaignante qui a qualité pour recourir en ce qui concerne le classement de la procédure (art. 382 al. 1 CPP), et satisfait aux conditions de forme posées par la loi (art. 385 al. 1 CPP).</w:t>
      </w:r>
    </w:p>
    <w:p>
      <w:r>
        <w:rPr>
          <w:b/>
        </w:rPr>
        <w:t>E. 1.2</w:t>
      </w:r>
    </w:p>
    <w:p>
      <w:r>
        <w:t>Outre le classement de la procédure, la recourante conteste le montant de l’indemnité allouée à son conseil d’office. Sur la base de l’art. 138 CPP, qui renvoie à l’application par analogie de l’art. 135 CPP, la qualité pour recourir appartient au défenseur d’office (art. 135 al. 3 CPP), respectivement au conseil juridique gratuit. La doctrine reconnaît toutefois un droit de recours au prévenu condamné dans la mesure où il pourra être tenu de rembourser le montant versé par l’Etat (Moreillon/Parein-Reymond, Petit Commentaire, Code de procédure pénale, 2 e éd., Bâle 2016, n. 10 ad art. 135 CPP ; Harari/Aliberti, in : Kuhn/Jeanneret [éd.], Commentaire romand, Code de procédure pénale suisse [ci-après : CR CPP], Bâle 2011, n. 29 ad art. 135 CPP).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CR CPP, op. cit., n. 2 ad art. 382 CPP). L'intérêt au recours relève de la recevabilité et non du bien-fondé du recours (Calame, op. cit., n. 3 ad art. 382 CPP ; CREP 4 décembre 2017/833 ; CREP 8 novembre 2011/498). Il est de jurisprudence constante que la partie assistée n'a pas d'intérêt juridiquement protégé à obtenir l'augmentation de l'indemnisation fixée en faveur de son conseil d'office (TF 6B_178/2018 du 21 février 2018 consid. 3 et les nombreuses réf. citées). En l'occurrence, l'indemnité allouée au conseil juridique de la recourante, fixée dans l'ordonnance attaquée, a été laissée à la charge de l'Etat. C.C.________ n'est ainsi aucunement lésée par cette décision et n'a dès lors pas d'intérêt juridiquement protégé à recourir. Son recours sur ce point est donc irrecevable. La recourante disposant en revanche clairement d’un intérêt à voir le classement de la procédure annulé, son recours est recevable pour le surplus.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 à savoir lorsque le comportement incriminé, quand bien même il serait établi, ne réalise les éléments constitutifs objectifs et subjectifs d’aucune infraction pénale (Grädel/Heiniger, in : Niggli/Heer/Wiprächtiger [éd.], Basler Kommentar, Schweizerische Strafprozessordnung, 2 e éd., Bâle 2014, n. 9 ad art. 319 CPP) –,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 qui découle du principe de la légalité (art. 5 al. 1 Cst. [Constitution fédérale de la Confédération suisse du 18 avril 1999 ; RS 101] et 2 al. 2 CPP, en relation avec les art. 319 al. 1 et 324 CPP ; ATF 138 IV 86 consid. 4.2)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JdT 2017 IV 357 ; ATF 138 IV 86 consid. 4.1.1 ; ATF 138 IV 186 consid. 4.1 ; TF 6B_1177/2017 du 16 avril 2018).</w:t>
      </w:r>
    </w:p>
    <w:p>
      <w:r>
        <w:rPr>
          <w:b/>
        </w:rPr>
        <w:t>E. 3.1</w:t>
      </w:r>
    </w:p>
    <w:p>
      <w:r>
        <w:t>La recourante reproche au Ministère public d’avoir établi les faits de manière arbitraire, en favorisant la version du prévenu alors que celui-ci aurait pourtant fait des déclarations contradictoires, en l’empêchant de faire valoir ses propres explications et en ignorant la dénonciation contenue dans le rapport de police. Elle soutient qu’en rejetant ses réquisitions de preuves, la Procureure a également violé son droit d’être entendu. La recourante fait enfin grief au Ministère public d’avoir classé prématurément l’affaire alors que l’instruction n’était pas complète.</w:t>
      </w:r>
    </w:p>
    <w:p>
      <w:r>
        <w:rPr>
          <w:b/>
        </w:rPr>
        <w:t>E. 3.2.1</w:t>
      </w:r>
    </w:p>
    <w:p>
      <w:r>
        <w:t>L'art. 117 CP (Code pénal suisse du 21 décembre 1937 ; RS 311.0)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(ATF 122 IV 145 consid. 3 ; TF 6B_512/2010 du 26 octobre 2010 consid. 2.1). Agit par négligence quiconque, par une imprévoyance coupable, commet un crime ou un délit sans se rendre compte ou sans tenir compte des conséquences de son acte. L'imprévoyance est coupable quand l'auteur de l'acte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 citées). Lorsqu'il existe des normes de sécurité spécifiques qui imposent un comportement déterminé pour prévenir les accidents, le devoir de prudence se définit en premier lieu à l'aune de ces normes (ATF 143 IV 138 consid. 2.1 ; ATF 135 IV 56 consid. 2.1). Dans le domaine du trafic routier, on se référera donc aux règles de la circulation (ATF 126 IV 91 consid. 4a/aa ; ATF 122 IV 133 consid. 2a ; ATF 122 IV 225 consid. 2a ; TF 6B_1148/2018 du 6 décembre 2018 consid. 2.1). Le rapport de causalité est adéquat lorsque, d’après le cours ordinaire des choses et l’expérience générale de la vie, le comportement était propre à entraîner un résultat du genre de celui qui s’est produit.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TF 6B_1148/2018 du 6 décembre 2018 consid. 2.5.1). Constitue un comportement imprévisible le fait d'accélérer brusquement pour forcer le passage, de surgir de façon inopinée à une vitesse largement excessive, ou de freiner vigoureusement tout à coup sans raison (ATF 143 IV 500 consid. 1.2.4 et les réf. citées).</w:t>
      </w:r>
    </w:p>
    <w:p>
      <w:r>
        <w:rPr>
          <w:b/>
        </w:rPr>
        <w:t>E. 3.2.2</w:t>
      </w:r>
    </w:p>
    <w:p>
      <w:r>
        <w:t>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 ATF 143 IV 138 consid. 2.1 ; ATF 125 IV 83 consid. 2b et les réf. citées). Seul celui qui s'est comporté réglementairement peut invoquer le principe de la confiance (ATF 143 IV 500 consid. 1.2.4 ; ATF 129 IV 282 consid. 2.2.1 et les réf. citées ; TF 6B_1148/2018 du 6 décembre 2018 consid. 2.4).</w:t>
      </w:r>
    </w:p>
    <w:p>
      <w:r>
        <w:rPr>
          <w:b/>
        </w:rPr>
        <w:t>E. 3.2.3</w:t>
      </w:r>
    </w:p>
    <w:p>
      <w:r>
        <w:t>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al. 1 OCR précise que le conducteur ne doit pas circuler à une vitesse qui l’empêcherait de s’arrêter sur la distance à laquelle porte sa visibilité ; lorsque le croisement est malaisé, il doit pouvoir s’arrêter sur la moitié de cette distance. La règle de la possibilité d’arrêt sur la distance de visibilité est la règle fondamentale de l’adaptation de la vitesse. Elle est valable quel que soit le lieu où le véhicule circule – à l’intérieur ou à l’extérieur des localités, sur une route rectiligne ou dans une courbe (ATF 93 IV 59, JdT 1968 I 408 ; Bussy et al., Code suisse de la circulation routière commenté, 4 e éd., Bâle 2015, nn. 1.16 et 1.17 ad art. 32 LCR). Dans les endroits où la visibilité est restreinte, par exemple en raison d’une courbe, le conducteur doit circuler lentement et, s’il le faut, s’arrêter (Bussy et al., op. et loc. cit.). La jurisprudence a eu l’occasion de préciser que l’art. 4 al. 1 OCR interdisait de dépasser la vitesse qui permettait de parer aux dangers soudains et prévisibles. Elle vise ici des obstacles qui ne se trouvent pas encore sur l’espace visible, mais qui pourraient s’y présenter au dernier moment. Le conducteur ne doit tenir compte d’obstacles qui apparaîtraient subitement sur son champ de visibilité que si la possibilité de cette survenance s’impose sérieusement, en raison des circonstances (Bussy et al., op. cit., n. 1.26 ad art. 32 LCR et les arrêts cités).</w:t>
      </w:r>
    </w:p>
    <w:p>
      <w:r>
        <w:rPr>
          <w:b/>
        </w:rPr>
        <w:t>E. 3.2.4</w:t>
      </w:r>
    </w:p>
    <w:p>
      <w:r>
        <w:t>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(Bussy et al., op. cit., n. 2 ad art. 31 LCR). En présence d’un danger, le conducteur a notamment la possibilité de freiner et le fait de tarder à le faire peut être considéré comme fautif (Bussy et al., op. cit., nn. 3.1 et 3.1.1 ad art. 31 LCR et les arrêts cités).</w:t>
      </w:r>
    </w:p>
    <w:p>
      <w:r>
        <w:rPr>
          <w:b/>
        </w:rPr>
        <w:t>E. 3.3</w:t>
      </w:r>
    </w:p>
    <w:p>
      <w:r>
        <w:t>En l’espèce, au terme de son rapport du 25 juillet 2017, la police a dénoncé X.________ pour violation des art. 32 al. 1 LCR et</w:t>
      </w:r>
    </w:p>
    <w:p>
      <w:r>
        <w:rPr>
          <w:b/>
        </w:rPr>
        <w:t>E. 4</w:t>
      </w:r>
    </w:p>
    <w:p>
      <w:r>
        <w:t>En définitive, le recours doit être admis dans la mesure où il est recevable (cf. consid. 1.2 supra ) et l’ordonnance attaquée doit être annulée. Le dossier de la cause sera renvoyé au Ministère public de l’arrondissement de Lausanne pour qu’il procède dans le sens des considérants. La requête d’assistance judiciaire de C.C.________ pour la procédure de recours est superflue, dès lors que le droit à un conseil juridique gratuit vaut pour toutes les étapes de la procédure et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conseil juridique gratuit déjà désigné par l’autorité inférieure, à la différence de ce que prévoit l’art. 119 al. 5 CPC (Code de procédure civile du 19 décembre 2008 ; RS 272) en matière civile (CREP 3 octobre 2018/775 ; CREP 21 janvier 2014/40). Les frais de la procédure de recours, constitués de l’émolument d’arrêt (art. 422 al. 1 CPP), par 1’430 fr. (art. 20 al. 1 TFIP [Tarif des frais de procédure et indemnités en matière pénale du 28 septembre 2010 ; BLV 312.03.1]), et de l’indemnité allouée au conseil juridique gratuit de la recourante, fixée à 900 fr., plus la TVA par 69 fr. 30, soit à 969 fr. 30 au total, seront laissés à la charge de l’Etat (art. 428 al. 4 CPP). Par ces motifs, la Chambre des recours pénale prononce : I. Le recours est admis dans la mesure où il est recevable. II. L’ordonnance du 20 juillet 2018 est annulée. III. Le dossier de la cause est renvoyé au Ministère public de l’arrondissement de Lausanne pour qu’il procède dans le sens des considérants. IV. L’indemnité allouée au conseil juridique gratuit de C.C.________ est fixée à 969 fr. 30 (neuf cent soixante-neuf francs et trente centimes). V. Les frais d’arrêt, par 1’430 fr. (mille quatre cent trente francs), ainsi que l’indemnité due au conseil juridique gratuit de C.C.________, par 969 fr. 30 (neuf cent soixante-neuf francs et trente centimes), sont laissés à la charge de l’Etat. VI. L’arrêt est exécutoire. Le président : La greffière : Du Le présent arrêt, dont la rédaction a été approuvée à huis clos, est notifié, par l'envoi d'une copie complète, à : - Me Imed Abdelli, avocat (pour C.C.________), - Me François Roux, avocat (pour X.________),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