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395 vom 21. Mai 2019</w:t>
      </w:r>
    </w:p>
    <w:p>
      <w:r>
        <w:t>VD Tribunal cantonal, 2019-05-21, FR</w:t>
      </w:r>
    </w:p>
    <w:p>
      <w:r>
        <w:rPr>
          <w:b/>
        </w:rPr>
        <w:t xml:space="preserve">Quelle: </w:t>
      </w:r>
      <w:r>
        <w:t>https://mcp.opencaselaw.ch/entscheid/vd_findinfo_D_cision___2019___395</w:t>
      </w:r>
    </w:p>
    <w:p>
      <w:r>
        <w:t>FR: VD_FINDINFO Décision / 2019 / 395 du 21 mai 2019</w:t>
      </w:r>
    </w:p>
    <w:p>
      <w:r>
        <w:t>IT: VD_FINDINFO Décision / 2019 / 395 del 21 maggio 2019</w:t>
      </w:r>
    </w:p>
    <w:p>
      <w:pPr>
        <w:pStyle w:val="Heading2"/>
      </w:pPr>
      <w:r>
        <w:t>Regeste</w:t>
      </w:r>
    </w:p>
    <w:p>
      <w:r>
        <w:t>DÉFENSE D'OFFICE, RELATION DE CONFIANCE, DILIGENCE, REMPLACEMENT, REJET DE LA DEMANDE | 12 let. a LLCA, 134 al. 2 CPP (CH)</w:t>
      </w:r>
    </w:p>
    <w:p>
      <w:pPr>
        <w:pStyle w:val="Heading2"/>
      </w:pPr>
      <w:r>
        <w:t>Erwägungen</w:t>
      </w:r>
    </w:p>
    <w:p>
      <w:r>
        <w:rPr>
          <w:b/>
        </w:rPr>
        <w:t>E. 1</w:t>
      </w:r>
    </w:p>
    <w:p>
      <w:r>
        <w:t>Interjeté en temps utile (art. 396 al. 1 CPP [Code de procédure pénale suisse du 5 octobre 2007 ; RS 312.0]) contre une ordonnance en matière de révocation et de remplacement du défenseur d'office (CREP 16 février 2018/127 ; Harari/Aliberti, in : Kuhn/Jeanneret [éd.], Commentaire romand, Code de procédure pénale suisse, Bâle 2011, n. 25 ad art. 134 CPP), par le prévenu, qui a qualité pour recourir (art. 382 al. 1 CPP ; Ruckstuhl, in : Niggli/Heer/Wiprächtiger [éd.], Basler Kommentar, Schweizerische Strafprozessordnung, Jugendstrafprozessordnung, 2 e éd., Bâle 2014, n. 5 ad art. 133 CPP et les réf. citées), le recours de Z.________ est recevable.</w:t>
      </w:r>
    </w:p>
    <w:p>
      <w:r>
        <w:rPr>
          <w:b/>
        </w:rPr>
        <w:t>E. 2.1</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 Ruckstuhl, op. cit.,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du 21 décembre 2005, FF 2006 pp. 1057 ss, spéc. p. 1159). Toutefois, le simple fait que la partie assistée n'a pas confiance dans son défenseur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Selon l’art. 12 let. a LLCA (Loi fédérale sur la libre circulation des avocats du 23 juin 2000 ; RS 935.61), l’avocat exerce sa profession avec soin et diligence. Pour s’acquitter pleinement de sa mission, l’avocat doit informer son client sur les risques de la procédure (ATF 138 IV 161 consid. 2.5.4 et les réf. citées) et le conseiller en conséquence. Partant, si le client adopte une stratégie contraire à ses intérêts, l’avocat doit pouvoir tenter, en lui exposant les conséquences possibles de sa stratégie en comparaison de celles de la stratégie recommandée par l’avocat, de le convaincre de changer d’avis et d’adopter la stratégie la plus opportune (Bohnet/Martenet, Droit de la profession d’avocat, Berne 2009, n. 1221 p. 520).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 par exemple qu’elle amène le défenseur d’office à déclarer qu’il croit son client coupable alors que celui-ci conteste l’infraction (cf. ATF 138 IV 161 précité) –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consid. 2.4 et la réf. citée) ou s’il n’entre pas dans le mandat confié à l’avocat. Il appartient au prévenu qui demande le remplacement de son défenseur d’office de rendre vraisemblable les faits sur lesquels il fonde sa demande (TF 6B_286/2013 du 14 octobre 2013 consid. 1.2).</w:t>
      </w:r>
    </w:p>
    <w:p>
      <w:r>
        <w:rPr>
          <w:b/>
        </w:rPr>
        <w:t>E. 2.2</w:t>
      </w:r>
    </w:p>
    <w:p>
      <w:r>
        <w:t>En l'espèce, force est de constater en premier lieu, avec le Procureur, que Me L.________ ne se désintéresse nullement de la procédure et se trouve en contact régulier avec le recourant, ce qui est confirmé par les différentes copies de courriers produites par ce dernier (cf. P. 136/4), alors que son intervention n'est effective que depuis quatre mois. Il appert par ailleurs – objectivement – que la défense du recourant n'a rien d'aisé, notamment en raison des rapports devant obligatoirement être entretenus entre l'avocat désigné et le prévenu, et des régulières revendications de ce dernier quant à sa défense (cf. P. 39, 41, 60, 61, 63, 64, 68, 77, 78, 85, 89, 98, 104, 106, 118, 122, 123 et 131). Au vu du nombre d'avocats ayant déjà été désignés dans la présente cause, rien n'indique qu'un nouveau changement de défenseur aurait pour résultat une défense plus efficace du prévenu, alors qu'une telle défense a précisément été assurée par chacun des avocats qui se sont succédé aux côtés du recourant. Ainsi, dès lors que les motifs évoqués par le recourant, qui indique n’être pas content du travail et de la personnalité de Me L.________, sont purement subjectifs et ne reposent sur aucun élément concret du dossier, on ne saurait considérer que la relation de confiance entre prévenu et avocat soit gravement perturbée ni la défense rendue inefficace. L’ordonnance entreprise échappe ainsi à la critique et ne peut qu’être confirmée.</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660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3 avril 2019 est confirmée. III. Les frais de la procédure de recours, par 660 fr. (six cent soixante francs), sont mis à la charge de Z.________. IV. L’arrêt est exécutoire. Le président :              La greffière : Du Le présent arrêt, dont la rédaction a été approuvée à huis clos, est notifié, par l'envoi d'une copie complète, à : - M. Z.________, - Me L.________, avocat (pour Z.________),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