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387 vom 10. Mai 2019</w:t>
      </w:r>
    </w:p>
    <w:p>
      <w:r>
        <w:t>VD Tribunal cantonal, 2019-05-10, FR</w:t>
      </w:r>
    </w:p>
    <w:p>
      <w:r>
        <w:rPr>
          <w:b/>
        </w:rPr>
        <w:t xml:space="preserve">Quelle: </w:t>
      </w:r>
      <w:r>
        <w:t>https://mcp.opencaselaw.ch/entscheid/vd_findinfo_D_cision___2019___387</w:t>
      </w:r>
    </w:p>
    <w:p>
      <w:r>
        <w:t>FR: VD_FINDINFO Décision / 2019 / 387 du 10 mai 2019</w:t>
      </w:r>
    </w:p>
    <w:p>
      <w:r>
        <w:t>IT: VD_FINDINFO Décision / 2019 / 387 del 10 maggio 2019</w:t>
      </w:r>
    </w:p>
    <w:p>
      <w:pPr>
        <w:pStyle w:val="Heading2"/>
      </w:pPr>
      <w:r>
        <w:t>Regeste</w:t>
      </w:r>
    </w:p>
    <w:p>
      <w:r>
        <w:t>SÉQUESTRE{MESURE PROVISIONNELLE}, DROIT D'ÊTRE ENTENDU, MOTIVATION DE LA DÉCISION | 263 al. 1 let. c CPP (CH), 3 al. 2 let. c CPP (CH)</w:t>
      </w:r>
    </w:p>
    <w:p>
      <w:pPr>
        <w:pStyle w:val="Heading2"/>
      </w:pPr>
      <w:r>
        <w:t>Erwägungen</w:t>
      </w:r>
    </w:p>
    <w:p>
      <w:r>
        <w:rPr>
          <w:b/>
        </w:rPr>
        <w:t>E. 1.1</w:t>
      </w:r>
    </w:p>
    <w:p>
      <w:r>
        <w:t>Selon l'art. 393 al. 1 let. a CPP, le recours est recevable contre les décisions et les actes de procédure de la police, du Ministère public et des autorités pénales compétentes en matière de contraventions. Il est irrecevable notamment lorsque le Ministère public rejette une réquisition de preuves qui peut être réitérée sans préjudice juridique devant le tribunal de première instance (art. 394 let. b CPP). Par ailleurs, les décisions qualifiées de définitives ou de non sujettes à recours par le CPP ne peuvent pas être attaquées par le biais d'un recours (art. 380 CPP en lien avec les art. 379 et 393 CPP). Sauf exceptions prévues expressément par la loi, toutes les décisions de procédure sont ainsi susceptibles de recours (TF 1B_657/2012 du 8 mars 2013 consid. 2.3.1). Les décisions ordonnant ou refusant d'ordonner un séquestre, en application de l'art. 263 CPP, sont donc de celles qui peuvent faire l'objet d'un recours. Une ordonnance par laquelle le Ministère public, en tant que direction de la procédure (art. 61 let. a CPP), refuse d'ordonner un séquestre fondé sur le droit de procédure pénale est ainsi attaquable en vertu de l'art. 393 al. 1 CPP (CREP 30 juillet 2018/568 consid. 1).</w:t>
      </w:r>
    </w:p>
    <w:p>
      <w:r>
        <w:rPr>
          <w:b/>
        </w:rPr>
        <w:t>E. 1.2</w:t>
      </w:r>
    </w:p>
    <w:p>
      <w:r>
        <w:t>En l'espèce, il y a lieu d’entrer en matière sur le recours, qui a été interjeté en temps utile, devant l’autorité compétente, par la partie plaignante qui a qualité pour recourir (art. 382 al. 1 CPP), et qui satisfait aux conditions de forme prescrites par l’art. 385 al. 1 CPP.</w:t>
      </w:r>
    </w:p>
    <w:p>
      <w:r>
        <w:rPr>
          <w:b/>
        </w:rPr>
        <w:t>E. 2.1</w:t>
      </w:r>
    </w:p>
    <w:p>
      <w:r>
        <w:t>Le recourant se plaint d’une violation de son droit d’être entendu. Il reproche à la procureure d’avoir insuffisamment motivé sa décision refusant d’ordonner le séquestre en « se contentant de déclarer que la requête de séquestre ne remplit pas les conditions posées par les art. 263 CPP, 70 et 71 CP (Code pénal suisse; RS 311.0, réd .), sans expliquer pourquoi il en va ainsi, alors que dans la lettre que lui a adressée le conseil soussigné le 18 avril 2019, il a été mis en avant les raisons commandant, aux yeux du recourant, d'admettre que les conditions d'application de l'art. 263 CPP sont réalisées » (recours, p. 4-5).</w:t>
      </w:r>
    </w:p>
    <w:p>
      <w:r>
        <w:rPr>
          <w:b/>
        </w:rPr>
        <w:t>E. 2.2</w:t>
      </w:r>
    </w:p>
    <w:p>
      <w:r>
        <w:t>Le droit d'être entendu, garanti par les art. 3 al. 2 let. c CPP, 29 al. 2 Cst. (Constitution fédérale de la Confédération suisse du 18 avril 1999; RS 101) et 6 par. 1 CEDH (Convention de sauvegarde des droits de l’homme et des libertés fondamentales du 4 novembre 1950;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1B_100/2019 du 28 mars 2019 consid. 2.1;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ATF 133 III 439 consid. 3.3; Moreillon/Parein-Reymond, Petit commentaire CPP, 2 e éd., Bâle 2016, nn. 6 ss ad art. 80 CPP).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TF 1B_524/2012 du 15 novembre 2012 consid. 2.1). 3.3 En l’espèce, le grief du recourant tombe à faux. En premier lieu, dans le courrier de son avocat du 18 avril 2019 (P. 4) accompagnant sa plainte pénale du 17 avril 2019 (P. 5), le recourant n’a nullement exposé en quoi les conditions d'application de l'art. 263 CPP étaient selon lui réalisées. Bien plutôt, il s’est borné à affirmer que, « si la plainte [était] fondée, il y [avait] en tout cas des doutes importants quant au droit de [...] sur l’argent », ce qui justifiait, selon lui, de prononcer le séquestre des avoirs en mains de l’Office des poursuites « en application de l’art. 263 CPP ». La Procureure a suffisamment motivé son rejet de la requête – insuffisamment motivée – du plaignant en exposant que les conditions posées par les art. 263 CPP (posant les cas de séquestre) et 70 CP (prévoyant la confiscation de valeurs patrimoniales qui sont le résultat d’une infraction) n’étaient pas remplies. Le plaignant a d’ailleurs bien compris cette motivation, puisqu’il a pu l’attaquer utilement devant la Cour de céans. En effet, il ressort de son recours (p. 5, ch. 2) que le seul cas de séquestre entrant en considération en l’espèce est le séquestre en vue de restitution (art. 263 al. 1 let. c CPP). Or, comme on le verra, les conditions d’un tel séquestre n’apparaissent manifestement pas réalisées en l’espèce.</w:t>
      </w:r>
    </w:p>
    <w:p>
      <w:r>
        <w:rPr>
          <w:b/>
        </w:rPr>
        <w:t>E. 4.1</w:t>
      </w:r>
    </w:p>
    <w:p>
      <w:r>
        <w:t>Conformément à l’art. 197 al. 1 CPP, un séquestre ne peut être ordonné que lorsqu’il est prévu par la loi (let. a), que des soupçons suffisants laissent présumer une infraction (let. b), que les buts poursuivis ne peuvent pas être atteints par des mesures moins sévères (let. c) et que la mesure apparaît justifiée au regard de la gravité de l'infraction (let. d). Le séquestre en matière pénale est une mesure de contrainte qui ne peut être ordonnée que lorsqu’une instruction a été ouverte par le Ministère public (art. 309 al. 1 let. b CPP) et qui est prononcée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en vue de restitution (art. 263 al. 1 let. c CPP) consiste à placer sous mains de justice des objets ou des valeurs patrimoniales dans le but de les rendre à leur possesseur antérieur lorsqu’ils ne sont ni confisqués ni utilisés pour couvrir les créances et qu’ils ne sont pas attribués à un tiers par jugement (ATF 128 I 129, JdT 2005 IV 180). Ce type de séquestre est, selon la jurisprudence et la doctrine, limité aux valeurs patrimoniales et aux objets qui ont été soustraits à la personne lésée directement du fait de l’infraction, soit les choses dont l’ayant droit a été dépouillé par l’infraction, mais aussi les comptes alimentés grâce à l’infraction (TF 1B_114/2015 du 1 er juillet 2015 consid. 2.1; Moreillon/Parein-Reymond, op. cit., n. 17 ad art. 263 CPP et les réf. citées).</w:t>
      </w:r>
    </w:p>
    <w:p>
      <w:r>
        <w:rPr>
          <w:b/>
        </w:rPr>
        <w:t>E. 4.2</w:t>
      </w:r>
    </w:p>
    <w:p>
      <w:r>
        <w:t>En l’espèce, indépendamment du point de savoir si les documents produits par [...] dans le cadre de la procédure de mesures provisionnelles ouverte par le recourant devant le Tribunal d’arrondissement de La Côte sont des faux en ce sens qu’ils comporteraient des signatures qui ne seraient pas celle du recourant – ce pour quoi il n’existe, en l’état, pas d’indices suffisants –, force est de constater que les valeurs patrimoniales dont le recourant entend obtenir le séquestre ne lui ont pas été soustraites par l’auteur présumé de l’infraction. En effet, les valeurs en question ne peuvent avoir été soustraites directement du fait de l’infraction dénoncée. Bien plutôt, elles ont été saisies par l’Office des poursuites ensuite de la mainlevée définitive de l’opposition formée par le recourant à une poursuite introduite par [...] sur la base d’une décision judiciaire italienne. Ces deniers sont ainsi en attente de distribution, comme le recourant l’allègue lui-même (requête de mesures provisionnnelles et superprovisionnnelles du 14 février 2019, let. F). La Cour ajoutera que la plainte pénale est dirigée contre inconnu mais qu’on ne voit pas qui elle pourrait viser d’autre que [...], respectivement les organes de cette société. Le cas de séquestre prévu par l’art. 263 al. 1 let. c CPP (séquestre en vue de restitution), qui, comme déjà relevé, entre seul en considération en l’espèce, n’est donc manifestement pas réalisé. L’ordonnance attaquée échappe ainsi à la critique. Au vrai, il apparaît que le recourant utilise la voie pénale à des fins qui lui sont étrangères, à savoir pour asseoir sa position dans un contentieux relevant du droit privé, singulièrement du droit des poursuites.</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de l’émolument d'arrêt, par 770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25 avril 2019 est confirmée. III. Les frais de la procédure de recours, par 770 fr. (sept cent septante francs), sont mis à la charge du recourant. IV. L’arrêt est exécutoire. Le président :               Le greffier : Du Le présent arrêt, dont la rédaction a été approuvée à huis clos, est notifié, par l'envoi d'une copie complète, à : - Me Charles-Henri de Luze, avocat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