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385 vom 2. April 2019</w:t>
      </w:r>
    </w:p>
    <w:p>
      <w:r>
        <w:t>VD Tribunal cantonal, 2019-04-02, FR</w:t>
      </w:r>
    </w:p>
    <w:p>
      <w:r>
        <w:rPr>
          <w:b/>
        </w:rPr>
        <w:t xml:space="preserve">Quelle: </w:t>
      </w:r>
      <w:r>
        <w:t>https://mcp.opencaselaw.ch/entscheid/vd_findinfo_D_cision___2019___385</w:t>
      </w:r>
    </w:p>
    <w:p>
      <w:r>
        <w:t>FR: VD_FINDINFO Décision / 2019 / 385 du 2 avril 2019</w:t>
      </w:r>
    </w:p>
    <w:p>
      <w:r>
        <w:t>IT: VD_FINDINFO Décision / 2019 / 385 del 2 aprile 2019</w:t>
      </w:r>
    </w:p>
    <w:p>
      <w:pPr>
        <w:pStyle w:val="Heading2"/>
      </w:pPr>
      <w:r>
        <w:t>Regeste</w:t>
      </w:r>
    </w:p>
    <w:p>
      <w:r>
        <w:t>RESTITUTION DU DÉLAI, REJET DE LA DEMANDE, DÉLAI DE GARDE, OPPOSITION TARDIVE, PROLONGATION DU DÉLAI | 94 CPP (CH)</w:t>
      </w:r>
    </w:p>
    <w:p>
      <w:pPr>
        <w:pStyle w:val="Heading2"/>
      </w:pPr>
      <w:r>
        <w:t>Erwägungen</w:t>
      </w:r>
    </w:p>
    <w:p>
      <w:r>
        <w:rPr>
          <w:b/>
        </w:rPr>
        <w:t>E. 1</w:t>
      </w:r>
    </w:p>
    <w:p>
      <w:r>
        <w:t>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par la prévenue qui a qualité pour recourir (art. 382 al. 1 CPP) et dans les formes prescrites (art. 385 al. 1 CPP). Il est ainsi recevable.</w:t>
      </w:r>
    </w:p>
    <w:p>
      <w:r>
        <w:rPr>
          <w:b/>
        </w:rPr>
        <w:t>E. 2.1</w:t>
      </w:r>
    </w:p>
    <w:p>
      <w:r>
        <w:t>La recourante fait valoir qu’en faisant prolonger le délai de garde, elle aurait pris toutes les mesures utiles afin de pouvoir sauvegarder ses droits, en se plaçant du point de vue d’un citoyen ordinaire, qui ne serait pas censé connaître la jurisprudence relative aux notifications et à la restitution des délais. De plus, au vu de sa prise de médicaments et/ou de psychotropes, elle aurait été empêchée sans sa faute de respecter le délai d’opposition.</w:t>
      </w:r>
    </w:p>
    <w:p>
      <w:r>
        <w:rPr>
          <w:b/>
        </w:rPr>
        <w:t>E. 2.2</w:t>
      </w:r>
    </w:p>
    <w:p>
      <w:r>
        <w:t>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Selon la jurisprudence,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 cit.). Dès lors,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 cela signifie qu’il doit, le cas échéant, désigner un représentant, faire suivre son courrier, informer les autorités de son absence ou leur indiquer une adresse de notification (ATF 139 IV 228 consid. 1.1 ; CREP du 7 février 2019/102 consid 2.1). Selon la jurisprudence du Tribunal fédéral, la prolongation du délai de garde auprès de l’office de la Poste ne permet pas de repousser la notification de l'acte judiciaire, réputée intervenue à l'échéance du délai de garde (ATF 134 V 49 consid. 4), ni de reporter le délai de recours contre la décision de classement. L'ignorance de cette règle ne constitue pas une excuse valable pour consentir à une restitution de ce délai (ATF 103 IV 131 consid. 2 ; TF 1B_251/2012 du 3 juillet 2012 consid. 2).</w:t>
      </w:r>
    </w:p>
    <w:p>
      <w:r>
        <w:rPr>
          <w:b/>
        </w:rPr>
        <w:t>E. 2.3</w:t>
      </w:r>
    </w:p>
    <w:p>
      <w:r>
        <w:t>En l’espèce, la recourante prétend avoir été empêchée de respecter le délai d’opposition à l’ordonnance pénale, qui courait du 21 au 30 novembre 2018. Elle fait valoir qu’elle était à l’étranger durant cette période. Or, ce fait ne ressort pas du dossier et la recourante n’a produit aucune pièce propre à l’établir. Elle ne conteste par ailleurs pas qu’elle devait s’attendre à recevoir un avis judiciaire par courrier recommandé. Dans ces conditions, elle ne rend pas vraisemblable qu’elle n’a pas pu retirer le pli dans le délai sans faute de sa part. La recourante fait valoir qu’elle ignorait qu’il n’était pas possible de prolonger le délai d’opposition en faisant garder son courrier par la Poste jusqu’à ce qu’elle soit en mesure de le retirer. Cette argumentation n’est pas pertinente à double titre. D’abord, comme indiqué précédemment, la recourante n’établit pas qu’elle était à l’étranger à l’échéance du délai de garde de sept jours. Ensuite, le fait que la prolongation du délai de garde ait été accordée le 19 novembre 2018 tend à démontrer que la recourante était à même de prendre des dispositions durant ce délai de garde. Au demeurant, le moyen de la recourante doit être rejeté puisque, selon la jurisprudence précitée, l’ignorance de la règle selon laquelle la fiction de notification ne peut pas être repoussée ne justifie pas une demande de restitution de délai.</w:t>
      </w:r>
    </w:p>
    <w:p>
      <w:r>
        <w:rPr>
          <w:b/>
        </w:rPr>
        <w:t>E. 3</w:t>
      </w:r>
    </w:p>
    <w:p>
      <w:r>
        <w:t>Au vu de ce qui précède, le recours, manifestement mal fondé, doit être rejeté sans échange d’écritures (art. 390 al. 2 CPP) et la décision du 11 mars 2019 confirmée. Quant à la requête tendant à l’octroi de l’assistance judiciaire pour la procédure de recours, elle doit être rejetée, le recours étant d’emblée dénué de chance de succès (CREP 27 août 2018/659 consid. 3 ; CREP 28 mai 2018 consid. 6 ; CREP 21 novembre 2017/806 consid. 3 ; Ruckstuhl, in : Niggli/Heer/Wiprächtiger [éd.], Basler Kommentar, Schweizerische Strafprozessordnung, Jugendstrafprozessordnung, Art. 1-195 StPO, 2 e éd., Bâle 2014, n. 10 ad art. 132 CPP). Les frais de la procédure de recours, constitués en l’espèce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mars 2019 est confirmée. III. La requête d’assistance judiciaire est rejetée. IV. Les frais d’arrêt, par 770 fr. (sept cent septante francs), sont mis à la charge de la recourante. V. L’arrêt est exécutoire. Le président :               La greffière : Du Le présent arrêt, dont la rédaction a été approuvée à huis clos, est notifié, par l'envoi d'une copie complète, à : - Me Ludovic Tirelli, avocat (pour Y.________),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