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382 vom 9. Mai 2019</w:t>
      </w:r>
    </w:p>
    <w:p>
      <w:r>
        <w:t>VD Tribunal cantonal, 2019-05-09, FR</w:t>
      </w:r>
    </w:p>
    <w:p>
      <w:r>
        <w:rPr>
          <w:b/>
        </w:rPr>
        <w:t xml:space="preserve">Quelle: </w:t>
      </w:r>
      <w:r>
        <w:t>https://mcp.opencaselaw.ch/entscheid/vd_findinfo_D_cision___2019___382</w:t>
      </w:r>
    </w:p>
    <w:p>
      <w:r>
        <w:t>FR: VD_FINDINFO Décision / 2019 / 382 du 9 mai 2019</w:t>
      </w:r>
    </w:p>
    <w:p>
      <w:r>
        <w:t>IT: VD_FINDINFO Décision / 2019 / 382 del 9 maggio 2019</w:t>
      </w:r>
    </w:p>
    <w:p>
      <w:pPr>
        <w:pStyle w:val="Heading2"/>
      </w:pPr>
      <w:r>
        <w:t>Regeste</w:t>
      </w:r>
    </w:p>
    <w:p>
      <w:r>
        <w:t>DÉTENTION PROVISOIRE, RISQUE DE FUITE, MESURE DE SUBSTITUTION À LA DÉTENTION, SOUPÇON | 221 al. 1 let. a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avant jugement (CREP 21 février 2018/142; CREP 18 octobre 2017/708 et les références citées).</w:t>
      </w:r>
    </w:p>
    <w:p>
      <w:r>
        <w:rPr>
          <w:b/>
        </w:rPr>
        <w:t>E. 1.2</w:t>
      </w:r>
    </w:p>
    <w:p>
      <w:r>
        <w:t>En l’espèce, déposé en temps utile et dans les formes prescrites (cf. art. 385 al. 1 CPP) par un détenu qui a qualité pour recourir (art. 382 CPP), le recours est recevable.</w:t>
      </w:r>
    </w:p>
    <w:p>
      <w:r>
        <w:rPr>
          <w:b/>
        </w:rPr>
        <w:t>E. 2</w:t>
      </w:r>
    </w:p>
    <w:p>
      <w:r>
        <w:t>e éd., Bâle 2014, n. 3 ad art. 221 CPP). L’intensité des charges propres à motiver un maintien en détention avant jugement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ATF 137 IV 122 consid. 3.2; TF 1B_372/2017 du 26 septembre 2017 consid. 2.1; Schmocker, op. cit., n. 8 ad art. 221 CPP). En d’autres termes, les soupçons doivent se renforcer plus l’instruction avance et plus l’issue du jugement au fond approche (TF 1B_344/2017 du 20 septembre 2017 consid. 4.1 et la réf. citée).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(ATF 140 III 610 consid. 4.1; TF 1B_157/2018 du 26 avril 2018 consid. 3.1 et la réf. citée).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ne se soustraie à la procédure pénale ou à la sanction prévisible en prenant la fuite (let. a), qu’il ne compromette la recherche de la vérité en exerçant une influence sur des personnes ou en altérant des moyens de preuve (let. b) ou qu’il ne compromette sérieusement la sécurité d’autrui par des crimes ou des délits graves après avoir déjà commis des infractions du même genre (let. c).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(art. 220 al. 2 CPP).</w:t>
      </w:r>
    </w:p>
    <w:p>
      <w:r>
        <w:rPr>
          <w:b/>
        </w:rPr>
        <w:t>E. 2.2</w:t>
      </w:r>
    </w:p>
    <w:p>
      <w:r>
        <w:t>et la référence citée). La gravité de l'infraction ne peut pas, à elle seule, justifier la prolongation de la détention, même si elle permet souvent de présumer un danger de fuite en raison de l'importance de la peine dont le prévenu est menacé (ATF 125 I 60 consid. 3a; ATF 117 Ia 69 consid. 4a).</w:t>
      </w:r>
    </w:p>
    <w:p>
      <w:r>
        <w:rPr>
          <w:b/>
        </w:rPr>
        <w:t>E. 3.1</w:t>
      </w:r>
    </w:p>
    <w:p>
      <w:r>
        <w:t>En l’espèce, bien qu’il déclare ne pas vouloir discuter les soupçons devant la cour de céans – réservant ses moyens de défense aux juges du fond –, le recourant conteste l’existence de charges pour les chefs de prévention de dommages à la propriété et de violation de domicile. Il se prévaut des dernières déclarations de ses co-prévenus, qui ont précisé qu’il était resté dans la voiture (à faire le guet) et qu’il n’avait pas pénétré dans la villa des époux [...] lors du cambriolage. Ce moyen est mal fondé. Il existe des soupçons suffisants y compris pour les chefs de prévention de dommages à la propriété et de violation de domicile. En effet, pour qu’il soit reconnu co-auteur de ces infractions, il n’est pas nécessaire que le recourant ait lui-même accompli les actes d’exécution (cf. la jurisprudence citée par Dupuis/Moreillon/Piguet/Berger/Mazou/Rodigari [éd.], Petit commentaire CP, 2 e éd., Bâle 2017, n. 7 des rem. prél. aux art. 24 à 27 CP, p. 188 s.). Peu importe dès lors que les comparses supposés du recourant ne le mettent pas en cause pour avoir pénétré dans la villa. L’existence de soupçons justifiant la détention avant jugement doit ainsi être tenue pour avérée pour l’ensemble des chefs de prévention.</w:t>
      </w:r>
    </w:p>
    <w:p>
      <w:r>
        <w:rPr>
          <w:b/>
        </w:rPr>
        <w:t>E. 3.2.1</w:t>
      </w:r>
    </w:p>
    <w:p>
      <w:r>
        <w:t>Cela étant, le recourant conteste tout risque de fuite. Il fait valoir qu’il travaille en Suisse depuis 2010, qu’il parle bien français, qu’il est au bénéfice d’un permis L, que sa compagne – son épouse étant retournée en Roumanie – vit en Suisse et que son employeur est prêt à le reprendre à son service dans l’hypothèse d’une libération de la détention avant jugement. Il en déduit que, le centre de ses intérêts se trouvant selon lui dans notre pays, il n’y aurait pas lieu de craindre qu’il quitte le territoire suisse s’il était remis en liberté dans l’attente de son procès.</w:t>
      </w:r>
    </w:p>
    <w:p>
      <w:r>
        <w:rPr>
          <w:b/>
        </w:rPr>
        <w:t>E. 3.2.2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w:t>
      </w:r>
    </w:p>
    <w:p>
      <w:r>
        <w:rPr>
          <w:b/>
        </w:rPr>
        <w:t>E. 3.2.3</w:t>
      </w:r>
    </w:p>
    <w:p>
      <w:r>
        <w:t>L’argumentation du recourant ne résiste pas à l’examen. Les faits incriminés paraissent constitutifs de vol (art. 139 CP, avec l’aggravante de la bande) en lien avec une violation de domicile (art. 186 CP) au sens de l’art. 66a al. 1 let. d CP, en plus des dommages à la propriété (art. 144 CP) et du recel (art. 160 CP). L’art. 66a al. 1 CP trouve également application s'agissant d'une tentative de commettre l'une des infractions énumérées dans le catalogue de la norme (cf. ATF 144 IV 168 consid. 1.4.1 p. 171; TF 6B_1262/2018 du 29 janvier 2019 consid. 2.1). Partant, si le recourant est reconnu coupable de ces deux premières infractions au moins, il n’encourra pas seulement une peine, mais encore l’expulsion du territoire suisse pour une durée de cinq à quinze ans quelle que soit la quotité de la peine prononcée à son encontre, selon l’art. 66a al. 1 CP. Les charges pesant contre le prévenu compromettent donc sérieusement la poursuite de son séjour en Suisse. Dans ces conditions, il existe un risque concret que le recourant, s’il était libéré de sa détention avant jugement, en profite pour quitter la Suisse ou entrer en clandestinité, pour ne pas avoir à subir une éventuelle peine en plus de perdre son statut légal dans notre pays. L’avantage de conserver un emploi en Suisse, notamment pour s’acquitter de factures en retard, et les quelques liens familiaux que l’intéressé dit avoir dans notre pays apparaissent de peu de poids au vu de l’ampleur de la peine susceptible d’être prononcée. C’est dès lors à bon droit que le Tribunal des mesures de contrainte a retenu le risque de fuite.</w:t>
      </w:r>
    </w:p>
    <w:p>
      <w:r>
        <w:rPr>
          <w:b/>
        </w:rPr>
        <w:t>E. 3.3</w:t>
      </w:r>
    </w:p>
    <w:p>
      <w:r>
        <w:t>Les conditions de l’art. 221 al. 1 CPP étant alternatives et non cumulatives (TF 1B_242/2016 du 21 juillet 2016 consid. 5), l'existence d’un risque de fuite dispense d’examiner si la détention avant jugement s’impose de surcroît en raison d’un risque de collusion ou de réitération. Les conditions de la détention avant jugement restent donc remplies.</w:t>
      </w:r>
    </w:p>
    <w:p>
      <w:r>
        <w:rPr>
          <w:b/>
        </w:rPr>
        <w:t>E. 4.1</w:t>
      </w:r>
    </w:p>
    <w:p>
      <w:r>
        <w:t>Pour le reste, on ne discerne pas quelle mesure de substitution au sens de l’art. 237 CPP pourrait pallier le risque de fuite. L’obligation imposée au prévenu de déposer son passeport ou de se présenter tous les jours dans un poste de police (art. 237 al. 2 let. b et d CPP) permettrait de détecter rapidement la fuite, non de la prévenir.</w:t>
      </w:r>
    </w:p>
    <w:p>
      <w:r>
        <w:rPr>
          <w:b/>
        </w:rPr>
        <w:t>E. 4.2</w:t>
      </w:r>
    </w:p>
    <w:p>
      <w:r>
        <w:t>Enfin, s’agissant du respect de la proportionnalité (art. 212 al. 3 CPP), la détention avant jugement atteindra trois mois à la fin de la période maximale prévue par l’ordonnance du Tribunal des mesures de contrainte du 19 février 2019, ce terme étant fixé au 16 mai 2019. Cette durée n’est pas encore proche de la peine qui serait encourue en cas de condamnation, étant rappelé que le recourant n’est pas mis en cause seulement pour le cambriolage auquel il semble avoir participé dans la nuit du 15 au 16 février 2019, mais encore pour recel. La proportionnalité entre la durée de la détention avant jugement et la quotité de la peine susceptible d’être prononcée apparaît dès lors largement respectée.</w:t>
      </w:r>
    </w:p>
    <w:p>
      <w:r>
        <w:rPr>
          <w:b/>
        </w:rPr>
        <w:t>E. 5</w:t>
      </w:r>
    </w:p>
    <w:p>
      <w:r>
        <w:t>Il résulte de ce qui précède que le recours, manifestement mal fondé, doit être rejeté sans échange d’écritures (art. 390 al. 2 CPP) et l’ordonnance attaquée confirmée. Les frais de la procédure de recours, constitués en l’espèce de l’émolument d'arrêt, par 880 fr. (art. 20 al. 1 TFIP [Tarif des frais de procédure et indemnités en matière pénale du 28 septembre 2010; BLV 312.03.1]), et des frais imputables à la défense d’office (art. 422 al. 1 et 2 let. a CPP), seront mis à la charge du recourant, qui succombe (art. 428 al. 1 CPP). L’indemnité nette allouée au défenseur d’office sera fixée à 360 fr., plus les débours arrêtés forfaitairement à 2 % des honoraires (art. 3 bis al. 1 RAJ [Règlement du 7 décembre 2010 sur l'assistance judiciaire en matière civile; BLV 211.02.3], dans sa teneur modifiée le 19 mars 2019 avec effet au 1 er mai 2019, applicable par renvoi de l’art. 26b TFIP). A ce montant de 367 fr. 20 doit être ajoutée la TVA, par 28 fr. 30, l’indemnité s’élevant ainsi à 395 fr. 50 au total.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30 avril 2019 est confirmée. III. L’indemnité allouée au défenseur d’office de J.________ est fixée à 395 fr. 50 (trois cent nonante-cinq francs et cinquante centimes). IV. Les frais de la procédure de recours, par 880 fr. (huit cent huitante francs), ainsi que l’indemnité due au défenseur d’office de J.________, par 395 fr. 50 (trois cent nonante-cinq francs et cinquante centimes), sont mis à la charge de ce dernier. V. Le remboursement à l’Etat de l’indemnité allouée au chiffre III ci-dessus ne sera exigible que pour autant que la situation financière de J.________ le permette. VI. L’arrêt est exécutoire. Le président :               Le greffier : Du Le présent arrêt, dont la rédaction a été approuvée à huis clos, est notifié, par l'envoi d'une copie complète, à : - Me Samuel Pahud, avocat (pour J.________), - Ministère public central, et communiqué à : ‑ Mme la Présidente du Tribunal des mesures de contrainte, - M. le Procureur du Ministère public du Nord vaudois, - Service de la population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