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376 vom 23. April 2019</w:t>
      </w:r>
    </w:p>
    <w:p>
      <w:r>
        <w:t>VD Tribunal cantonal, 2019-04-23, FR</w:t>
      </w:r>
    </w:p>
    <w:p>
      <w:r>
        <w:rPr>
          <w:b/>
        </w:rPr>
        <w:t xml:space="preserve">Quelle: </w:t>
      </w:r>
      <w:r>
        <w:t>https://mcp.opencaselaw.ch/entscheid/vd_findinfo_D_cision___2019___376</w:t>
      </w:r>
    </w:p>
    <w:p>
      <w:r>
        <w:t>FR: VD_FINDINFO Décision / 2019 / 376 du 23 avril 2019</w:t>
      </w:r>
    </w:p>
    <w:p>
      <w:r>
        <w:t>IT: VD_FINDINFO Décision / 2019 / 376 del 23 aprile 2019</w:t>
      </w:r>
    </w:p>
    <w:p>
      <w:pPr>
        <w:pStyle w:val="Heading2"/>
      </w:pPr>
      <w:r>
        <w:t>Regeste</w:t>
      </w:r>
    </w:p>
    <w:p>
      <w:r>
        <w:t>DÉCISION D'IRRECEVABILITÉ, NE BIS IN IDEM, DÉLAI DE RECOURS, DÉLAI FIXÉ PAR LE JUGE, OBSERVATION DU DÉLAI, RESTITUTION DU DÉLAI, CAPACITÉ D'ESTER EN JUSTICE | 11 CPP (CH), 310 CPP (CH), 94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on peut douter que le Procureur général ait été compétent pour octroyer une restitution de délai (art. 94 al. 2 et 396 al. 1 CPP). Il apparaît cependant qu’il a considéré que la notification de l’ordonnance à la seule curatrice n’avait pas été régulière. Partant, c’est à bon droit que le délai de recours n’a commencé à courir qu’à réception, par la recourante, du pli du 5 décembre 2018. Il convient ainsi d’entrer en matière sur le recours, interjeté dans le délai et les formes prescrites auprès de l’autorité compétente, par la partie plaignante qui a qualité pour recourir (art. 382 al. 1 CPP).</w:t>
      </w:r>
    </w:p>
    <w:p>
      <w:r>
        <w:rPr>
          <w:b/>
        </w:rPr>
        <w:t>E. 2.1</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2 e éd., Bâle 2019, n. 2 ad art. 310 CPP) – par le Ministère public lorsqu'il apparaît, à réception de la dénonciation (cf. art. 301 s. CPP) ou de la plainte (Cornu, in : Kuhn/Jeanneret [éd.],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 TF 1B_67/2012 du 29 mai 2012 consid. 2.2). Parmi les empêchements définitifs de procéder, au sens de la disposition précitée, figurent les cas d'extinction de l'action publique, soit notamment la chose jugée (Cornu, in : Kuhn/Jeanneret [éd.], op. cit., n. 12 ad art. 310 CPP). En droit pénal comme en droit civil, les décisions judiciaires définitives sont en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(Piquerez/Macaluso, Procédure pénale suisse, 3 e éd., 2011, n. 580 et nn. 1573 s. ; CREP 28 mai 2018/396 ; CREP 4 novembre 2015/723 consid. 2.1 ; CREP 20 août 2014/587 consid. 2.1 ; CREP 18 juin 2013/432). 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TF 6B_1053/2017 du 17 mai 2018 consid. 4.1). L'autorité de chose jugée et le principe ne bis in idem supposent qu'il y ait identité de la personne visée et des faits retenus (ATF 125 II 402 consid. 1b ; ATF 120 IV 10 consid. 2b ; TF 6B_279/2018 du 27 juillet 2018 consid. 1.1 et les réf. cit.).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TF 6B_1186/2014 du 3 décembre 2015 consid. 4.2 et les réf. cit. ; Hottelier, in : Kuhn/Jeanneret [éd.], op. cit., n. 6 ad art. 11 CPP ; cf. également Piquerez/Macaluso, op. cit., nn. 580 ss ; Tag, in : Basler Kommentar, Schweizerische Strafprozessordnung, 2011, nn.11 ss ad art. 11 CPP). Le principe ne bis in idem est garanti par l'art. 4 par. 1 du Protocole additionnel n° 7 à la CEDH du 22 novembre 1984 (RS 0.101.07), ainsi que par l'art. 14 par. 7 du Pacte ONU II (Pacte international relatif aux droits civils et politiques, conclu à New York le 16 décembre 1966 ; RS 0.103.2). La règle ne bis in idem découle en outre implicitement de la Constitution fédérale (ATF 137 I 363 consid. 2.1). Sous la note marginale « interdiction de la double poursuite », l'art. 11 al. 1 CPP prévoit également qu'aucune personne condamnée ou acquittée en Suisse par un jugement entré en force ne peut pas être poursuivie une nouvelle fois pour la même infraction. L’art. 11 al. 2 CPP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2.2</w:t>
      </w:r>
    </w:p>
    <w:p>
      <w:r>
        <w:t>Dans sa dénonciation du 12 juillet 2018, la recourante reproche à son ancien curateur, L.________, d’avoir établi un faux inventaire le 14 avril 2014, ratifié par la Juge de paix P.________ le 11 juillet 2014. On relèvera, comme le Procureur général, que les faits reprochés à l’ancien curateur de la recourante, L.________, relèvent du même complexe de faits que ceux qui ont fait l’objet de l’ordonnance de classement du 27 novembre 2017 (P. 17), soit la prétendue soustraction du matériel qui constituait le ménage de la recourante. Dans la mesure où la dénonciation du 12 juillet 2018 vise à nouveau L.________, force est de constater qu’il y a autorité de chose jugée et qu’il existe par conséquent un empêchement de procéder à cet égard. En outre, la dénonciation du 12 juillet 2018, ainsi que ses annexes, ne comportent aucun élément concret nouveau susceptible de justifier une reprise de la procédure close par l’ordonnance de classement du 27 novembre 2017, au sens de des art. 11 al. 2 et 323 al. 1 CPP. S’agissant des reproches formulés à l’encontre de la juge de paix, ceux-ci ne reposent sur aucun élément concret. Il apparaît en réalité que, le 14 avril 2014, le curateur a soumis à la justice de paix le « compte de la personne sous curatelle », dont l’approbation était proposée par l’assesseur de cette justice de paix et que, le 11 juillet 2014, la juge de paix a approuvé ce compte. La recourante disposait de voies de droit pour contester cette décision, dont elle a d’ailleurs fait usage. Elle ne saurait ainsi de bonne foi, quatre ans après, et après avoir usé de tous les moyens de droit à sa disposition – y compris une demande de récusation dirigée contre la juge de paix (cf. pour les dernière décisions : TF 5A_15/2019 du 10 janvier 2019 ad CREC 21 novembre 2018/358 ;TF 5A_1049/2018 du 9 janvier 2019 ad CCUR 20 novembre 2018/220) – dénoncer de prétendues infractions commises par la juge de paix en lien avec les actes qu’elle reprochait à L.________, actes qui ont fait l’objet d’une ordonnance de classement entrée en force. Ainsi, il se justifiait également de rendre une ordonnance de non-entrée en matière s’agissant de ces griefs, dès lors qu’il apparaît d’emblée complètement exclu que l’infraction de faux dans les titres puisse être retenue à l’encontre de cette magistrate.</w:t>
      </w:r>
    </w:p>
    <w:p>
      <w:r>
        <w:rPr>
          <w:b/>
        </w:rPr>
        <w:t>E. 2.3</w:t>
      </w:r>
    </w:p>
    <w:p>
      <w:r>
        <w:t>La recourante soutient encore que, lors de la signature de la transaction des 24 mai et 6 juin 2017 (P. 16/2), elle aurait été « dans l’erreur fondamentale de donner crédit à des juristes » et qu’elle avait fait confiance à son avocate et au Président du Tribunal cantonal. Les intervenants, soit, pour l’Etat de Vaud, [...], Président du Tribunal cantonal, et [...], Secrétaire général de l’ordre judiciaire, ainsi que les représentants de la recourante à cette époque, Me [...], avocate, et N.________, curatrice, auraient exploité son état de faiblesse. On relèvera que les actes reprochés aux intervenants ayant signé la transaction les 24 mai et 6 juin 2017 ne figuraient pas dans la dénonciation du 12 juillet 2018. Le Procureur général n’a donc pas statué sur ces éléments dans l’ordonnance attaquée. Il s’ensuit que ces griefs sont irrecevables en procédure de recours. Au demeurant, ils ne reposent sur aucun élément tangible. Les éléments constitutifs de l'infraction d’abus de confiance et les conditions à l'ouverture d’une action pénale ne sont donc manifestement pas réunis.</w:t>
      </w:r>
    </w:p>
    <w:p>
      <w:r>
        <w:rPr>
          <w:b/>
        </w:rPr>
        <w:t>E. 3</w:t>
      </w:r>
    </w:p>
    <w:p>
      <w:r>
        <w:t>Il résulte de ce qui précède que le recours, manifestement mal fondé, doit être rejeté sans échange d'écritures (art. 390 al. 2 CPP), dans la mesure où il est recevable (cf. consid. 2.3 supra ),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30 octobre 2018 est confirmée. III. Les frais d’arrêt, par 880 fr. (huit cent huitante francs), sont mis à la charge d’X.________. IV. L’arrêt est exécutoire. Le vice-président : La greffière : Du Le présent arrêt, dont la rédaction a été approuvée à huis clos, est notifié, par l'envoi d'une copie complète, à : - Mme X.________, - Mme N.________ (pour X.________), - Ministère public central, et communiqué à : - M. le Procureur général du canton de Vaud,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