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369 vom 4. Juni 2019</w:t>
      </w:r>
    </w:p>
    <w:p>
      <w:r>
        <w:t>VD Tribunal cantonal, 2019-06-04, FR</w:t>
      </w:r>
    </w:p>
    <w:p>
      <w:r>
        <w:rPr>
          <w:b/>
        </w:rPr>
        <w:t xml:space="preserve">Quelle: </w:t>
      </w:r>
      <w:r>
        <w:t>https://mcp.opencaselaw.ch/entscheid/vd_findinfo_D_cision___2019___369</w:t>
      </w:r>
    </w:p>
    <w:p>
      <w:r>
        <w:t>FR: VD_FINDINFO Décision / 2019 / 369 du 4 juin 2019</w:t>
      </w:r>
    </w:p>
    <w:p>
      <w:r>
        <w:t>IT: VD_FINDINFO Décision / 2019 / 369 del 4 giugno 2019</w:t>
      </w:r>
    </w:p>
    <w:p>
      <w:pPr>
        <w:pStyle w:val="Heading2"/>
      </w:pPr>
      <w:r>
        <w:t>Regeste</w:t>
      </w:r>
    </w:p>
    <w:p>
      <w:r>
        <w:t>DEMANDE ADRESSÉE À L'AUTORITÉ, RÉCUSATION, MAGISTRAT, REJET DE LA DEMANDE, CHAMBRE DES AVOCATS, DÉNONCIATION{EN GÉNÉRAL}, CONFLIT D'INTÉRÊTS | 56 let. f CPP (CH), 59 CPP (CH)</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La Chambre des recours pénale du Tribunal cantonal est donc compétente pour statuer sur la présente demande.</w:t>
      </w:r>
    </w:p>
    <w:p>
      <w:r>
        <w:rPr>
          <w:b/>
        </w:rPr>
        <w:t>E. 2.1</w:t>
      </w:r>
    </w:p>
    <w:p>
      <w:r>
        <w:t>Un magistrat est récusable, aux termes de l'art. 56 let. f CPP, lorsque d'autres motifs que ceux énumérés aux lettres a à e de l’art. 56 CPP,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p. 74 et les références citées). La jurisprudence n'admet que restrictivement un cas de récusation lorsqu'un magistrat est pris à partie, pénalement ou non. En effet, le seul dépôt d'une plainte/dénonciation pénale contre un juge ou un procureur ne suffit pas pour provoquer un motif de récusation. Si tel était le cas, il suffirait à tout justiciable de déposer une plainte contre le magistrat en charge de la cause dans laquelle il est impliqué pour interrompre l'instruction de celle-ci et faire obstacle à l'avancement de la procédure. Selon la jurisprudence, dans de telles circonstances, le défaut d'impartialité du magistrat ne devrait être envisagé que si celui-ci répondait à la dénonciation formée contre lui en déposant une plainte pénale assortie de conclusions civiles en réparation du tort moral ou réagissait d'une autre manière propre à établir qu'il n'est plus en mesure de prendre la distance nécessaire par rapport à la plainte (cf. TF 1B_524/2018 du 1er mars 2019 consid. 3.1 ; ATF 134 I 20 consid. 4.3.2 p. 22; TF 1B_390/2017 du 31 octobre 2017 consid. 3.3).</w:t>
      </w:r>
    </w:p>
    <w:p>
      <w:r>
        <w:rPr>
          <w:b/>
        </w:rPr>
        <w:t>E. 2.2</w:t>
      </w:r>
    </w:p>
    <w:p>
      <w:r>
        <w:t>Parmi les règles professionnelles que doit respecter l'avocat, l'art. 12 let. c LLCA (Loi fédérale sur la libre circulation des avocats ; RS 935.61) prévoit qu'il doit éviter tout conflit entre les intérêts de son client et ceux des personnes avec lesquelles il est en relation sur le plan professionnel ou privé.  L'incapacité de représentation affectant un avocat rejaillit sur ses associés (ATF 135 II 145 consid. 9.1 p. 154). L'interdiction de plaider en cas de conflit d'intérêts est en effet une règle cardinale de la profession d'avocat. Elle est en lien avec la clause générale de l'art.  2 let. a LLCA - selon laquelle l'avocat exerce sa profession avec soin et diligence -, et avec l'obligation d'indépendance figurant à l'art. 12 let. b LLCA (TF 1B_510/2018 du 14 mars 2019 consid. 2.1, précité ; ATF 141 IV 257 consid. 2.1 p. 260; ATF 134 II 108 consid. 3 p. 110). Les règles susmentionnées visent avant tout à protéger les intérêts des clients de l'avocat, en leur garantissant une défense exempte de conflit d'intérêts (TF 1B_510/2018 du 14 mars 2019 consid. 2.1 précité ; ATF 141 IV 257 consid. 2.1 ; TF 1B_420/2011 du 21 novembre 2011 consid. 1.2.2). Elles tendent également à garantir la bonne marche du procès, notamment en s'assurant qu'aucun avocat ne soit restreint dans sa capacité de défendre l'un de ses clients (TF 1B_510/2018 du 14 mars 2019 consid. 2.1 précité; ATF 141 IV 257 consid. 2.1 ; TF 1B_376/2013 du 18 novembre 2013 consid. 3). Le risque de conflit d’intérêt ne doit pas être purement abstrait mais concret. Il n'est toutefois pas nécessaire que le danger concret se soit réalisé et que l'avocat ait déjà exécuté son mandat de façon critiquable ou en défaveur de son client (TF 1B_510/2018 du 14 mars 2019 consid. 2.1, destiné à la publication ; ATF 141 IV 257 consid. 2.1 ; TF 1B_59/2018 du 31 mai 2018 consid. 2.4; TF 1B_20/2017 du 23 février 2017 consid. 3.1). Dès que le conflit d'intérêts survient, l'avocat doit mettre fin à la représentation (ATF 135 II 145 consid. 9.1 p. 154 s.; 134 II 108 consid. 4.2.1 p. 112). Celui qui, en violation des obligations énoncées à l'art. 12 LLCA, accepte ou poursuit la défense alors qu’il existe un tel risque de conflit doit se voir dénier par l'autorité la capacité de postuler. L'interdiction de plaider est, en effet, la conséquence logique du constat de l'existence d'un tel conflit (TF 1A.223/2002 du 18 mars 2003 consid. 5.5). Il appartient au juge qui conduit le dossier, au civil, au pénal ou en droit administratif, et qui constate un conflit d'intérêts ou un défaut d'indépendance, d'en tirer d'office les conséquences et de dénier à l'avocat la capacité de postuler en l'obligeant à renoncer à la défense en cause (Bohnet/Martenet, Droit de la profession d’avocat, 2009, ch. 1144 p. 493 et les références citées). En procédure pénale, l’art. 62 CPP confie les mesures nécessaires au bon déroulement et à la légalité de la procédure à l'autorité investie de la direction de la procédure (cf. art. 61 CPP). C’est donc à la direction de la procédure qu’il appartient d’interdire à un avocat et le cas échéant à tout avocat travaillant dans la même étude de représenter ou d’assister un client dans une procédure pénale (TF 1B_510/2018 du 14 mars 2019 consid. 2).</w:t>
      </w:r>
    </w:p>
    <w:p>
      <w:r>
        <w:rPr>
          <w:b/>
        </w:rPr>
        <w:t>E. 2.3.1</w:t>
      </w:r>
    </w:p>
    <w:p>
      <w:r>
        <w:t>Dans le cas présent, la requérante voit un indice de partialité contre son avocate, Me P.________, dans le fait qu’un ancien membre de l’étude de cette dernière, Me W.________, a défendu une plaignante dans le cadre d’une procédure pénale visant la Procureure F.________ personnellement (cf. P. 14/1), dans le fait que, le 22 novembre 2017, trois avocats de cette même étude, soit Me P.________, Me [...] et Me W.________ ont déposé une plainte pénale contre la Procureure F.________ (cf. P 14/2), et dans le fait que dans une autre procédure, et suite à des demandes de récusation des 7 septembre et 5 décembre 2017 déposée par les mêmes avocats, le Procureur général avait dessaisi ladite procureure en application de l’art. 23 al. 4 LMPu (Loi sur le Ministère public ; BLV 173.21) (P14/3). Enfin, la requérante fait valoir que dans un autre dossier, une collaboratrice de l’étude de Me P.________ avait tenté de prendre contact avec la Procureure F.________ afin d’inviter cette dernière à renoncer à la poursuite d’une instruction pénale et de la confier à un autre procureur, et qu’il lui aurait été répondu que la magistrate refusait tout contact avec les membres de l’étude «V.________ ». La requérante déduit de tous ces éléments qu’il existe selon toute vraisemblance un « rapport d’inimitié » avec l’étude de son conseil, Me P.________, permettant de douter de l’indépendance et de l’impartialité de F.________. Elle voit une confirmation de cette conclusion dans le fait que, dans des affaires récentes, l’intéressée aurait transmis des dossiers concernant l’étude « V.________ » à d’autres procureurs (cf. P 14/5 à 12).</w:t>
      </w:r>
    </w:p>
    <w:p>
      <w:r>
        <w:rPr>
          <w:b/>
        </w:rPr>
        <w:t>E. 2.3.2</w:t>
      </w:r>
    </w:p>
    <w:p>
      <w:r>
        <w:t>Il est vrai que plusieurs procédures ont été déposées par les membres de l’étude « V.________ », dont Me P.________, à l’encontre de la Procureure F.________ personnellement. En l’espèce, toutefois, Me P.________ se trompe quant à la conséquence à tirer des circonstances exceptionnelles qu’elle énumère dans la demande de récusation qu’elle a déposée le 4 mars 2019 au nom de R.________. En effet, il ressort de la demande de récusation elle-même, confirmée par le dossier, que c’est en date du 25 février 2019 que la Procureure F.________ a rendu une ordonnance de non-entrée en matière dans le cadre de la plainte déposée par R.________ et qu’au moment de la reddition de cette décision et durant toute la procédure préliminaire, la plaignante n’était pas assistée et, a fortiori, n’était pas assistée par Me P.________. En particulier, elle ne l’était pas lorsqu’elle a été entendue par la police le 28 septembre 2018 et lorsqu’elle a déposée plainte pénale, par acte du 6 novembre 2018. Ce n’est vraisemblablement qu’à réception de cette ordonnance que R.________ a consulté Me P.________ (cf. procuration, P 17/2/1). De fait, par courrier et efax du 27 février 2019 adressés à la Procureure F.________, Me P.________ a informé celle-ci que R.________ avait consulté l’étude «V.________ » pour la défense de ses intérêts dans le cadre de la présente procédure pénale, et qu’afin de se « déterminer efficacement sur les suites qu’il convient de donner à vos décisions du 25 février 2019 », elle l’invitait à lui transmettre le dossier par retour de courriel (P10). Le 28 février 2019, le dossier a été adressé à Me P.________, et celle-ci l’a retourné le 1er mars 2019 (cf. pièces de forme). Puis, le 4 mars 2019, Me P.________ a déposé une demande de récusation dirigée contre la Procureure F.________ au nom de R.________. Il ressort de ce qui précède que Me P.________ a vraisemblablement accepté un mandat après que l’ordonnance de non-entrée en matière avait été rendue par la Procureure F.________, et par conséquent alors qu’elle savait qu’elle-même ainsi que l’étude d’avocats à laquelle elle appartient étaient (et sont encore) en conflit avec la Procureure F.________, notamment en raison de plaintes pénales déposées contre cette dernière par les membres de cette étude – dont Me P.________ – personnellement. Ce faisant, en acceptant ce mandat, cette avocate s’est manifestement mise elle-même dans la situation de ne pas pouvoir défendre sa cliente de manière indépendante et sans conflits d’intérêts. Si, comme l’indique la procuration au dossier, qui est datée du 25 février 2019, Me P.________ a accepté le mandat le même jour que les ordonnances étaient envoyées, elle devait, à réception de celles-ci, ne pas poursuivre la défe nse de sa cliente. Dans ces conditions, il convient de tirer d'office les conséquences de ce conflit d’intérêt et de ce défaut d’indépendance en déniant à l'avocate P.________ la capacité de postuler et en l'obligeant à renoncer à assister et représenter R.________ dans le cadre de la présente enquête PE18.018974-[…]. Quant à la demande de récusation, puisqu’elle repose sur des motifs qui n’existeraient pas si l’avocate P.________ n’avait pas accepté ou poursuivi un mandat en violation de l’art. 12 let. a, let. b et let. c LLCA, et qui n’existent plus dès lors que la capacité de postuler lui est déniée, elle est manifestement mal fondée, voire même abusive . Les frais de la présente procédure, constitués du seul émolument de décision (art. 422 al. 1 CPP), par 990 fr. (art. 20 al. 1 TFIP [tarif des frais de procédure et indemnités en matière pénale du 28 septembre 2010 ; BLV 312.03.1]), seront mis à la charge de la requérante, conformément à l'art. 59 al. 4 CPP. En application de la jurisprudence du Tribunal fédéral (TF 5A_567/2016  du 9 mars 2017 consid. 2.2.2 et 2.3), une copie du présent arrêt sera communiquée à la Chambre des avocats du canton de Vaud. Par ces motifs, la Chambre des recours pénale prononce : I. Il est interdit à l’avocate P.________ d’assister et de représenter la plaignante R.________ dans le cadre de la présente cause pénale. II. La demande de récusation présentée le 4 mars 2019 par R.________ contre la Procureure F.________ est rejetée. III. Les frais de la procédure de récusation, par 990 fr. (neuf cent nonante francs), sont mis à la charge de R.________. IV. La décision est exécutoire. Le président :               La greffière : Du La présente décision, dont la rédaction a été approuvée à huis clos, est notifiée, par l'envoi d'une copie complète, à : - Me P.________, avocate (pour R.________), - Ministère public central, et communiquée à : ‑ Mme la Procureure de l’arrondissement de l’Est vaudois, - Chambre des avocats du canton de Vaud,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