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368 vom 30. April 2019</w:t>
      </w:r>
    </w:p>
    <w:p>
      <w:r>
        <w:t>VD Tribunal cantonal, 2019-04-30, FR</w:t>
      </w:r>
    </w:p>
    <w:p>
      <w:r>
        <w:rPr>
          <w:b/>
        </w:rPr>
        <w:t xml:space="preserve">Quelle: </w:t>
      </w:r>
      <w:r>
        <w:t>https://mcp.opencaselaw.ch/entscheid/vd_findinfo_D_cision___2019___368</w:t>
      </w:r>
    </w:p>
    <w:p>
      <w:r>
        <w:t>FR: VD_FINDINFO Décision / 2019 / 368 du 30 avril 2019</w:t>
      </w:r>
    </w:p>
    <w:p>
      <w:r>
        <w:t>IT: VD_FINDINFO Décision / 2019 / 368 del 30 aprile 2019</w:t>
      </w:r>
    </w:p>
    <w:p>
      <w:pPr>
        <w:pStyle w:val="Heading2"/>
      </w:pPr>
      <w:r>
        <w:t>Regeste</w:t>
      </w:r>
    </w:p>
    <w:p>
      <w:r>
        <w:t>SÉQUESTRE{MESURE PROVISIONNELLE}, CRÉANCE | 263 CPP (CH)</w:t>
      </w:r>
    </w:p>
    <w:p>
      <w:pPr>
        <w:pStyle w:val="Heading2"/>
      </w:pPr>
      <w:r>
        <w:t>Erwägungen</w:t>
      </w:r>
    </w:p>
    <w:p>
      <w:r>
        <w:rPr>
          <w:b/>
        </w:rPr>
        <w:t>E. 1</w:t>
      </w:r>
    </w:p>
    <w:p>
      <w:r>
        <w:t>CPP), et dans les formes prescrites (art. 385 al. 1 CPP), de sorte qu’il est recevable.</w:t>
      </w:r>
    </w:p>
    <w:p>
      <w:r>
        <w:rPr>
          <w:b/>
        </w:rPr>
        <w:t>E. 2</w:t>
      </w:r>
    </w:p>
    <w:p>
      <w:r>
        <w:t>CPP) et d’exclure le séquestre des valeurs insaisissables selon les art. 92 à 94 LP (art. 268 al. 3 CPP; ATF 141 IV 360 consid. 3.1; Moreillon/Parein-Reymond, op. cit., n. 9 ad art. 268 CPP et les références citées).</w:t>
      </w:r>
    </w:p>
    <w:p>
      <w:r>
        <w:rPr>
          <w:b/>
        </w:rPr>
        <w:t>E. 2.1</w:t>
      </w:r>
    </w:p>
    <w:p>
      <w:r>
        <w:t>Le séquestre pénal est prononcé en principe sur la base de l'art. 263 CPP, qui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w:t>
      </w:r>
    </w:p>
    <w:p>
      <w:r>
        <w:rPr>
          <w:b/>
        </w:rPr>
        <w:t>E. 2.1.1</w:t>
      </w:r>
    </w:p>
    <w:p>
      <w:r>
        <w:t>Le séquestre à des fins de garantie ou en couverture des frais (art. 263 al. 1 let. b CPP) a pour but d’assurer à l’Etat le paiement des frais de procédure (art. 422 CPP), des peines pécuniaires (art. 34 ss CP), des amendes (art. 106 CP) et des autres indemnités (art. 429 ss CPP) que la procédure a pu faire naître à la charge du prévenu (Moreillon/Parein-Reymond, Moreillon/Parein-Reymond, Petit commentaire CPP, 2 e éd., Bâle 2016, n. ad art. CPP, n. 13 ad art. 263 CPP). Le séquestre à des fins de garantie ou en couverture des frais de l’art. 263 al. 1 let. b CPP impose de prendre en compte le revenu et la fortune du prévenu (art. 268 al.</w:t>
      </w:r>
    </w:p>
    <w:p>
      <w:r>
        <w:rPr>
          <w:b/>
        </w:rPr>
        <w:t>E. 2.1.2</w:t>
      </w:r>
    </w:p>
    <w:p>
      <w:r>
        <w:t>Le séquestre tendant à garantir une éventuelle créance compensatrice (art. 71 CP) peut porter sur tous les biens, valeurs et/ou revenus de l'intéressé; il doit être maintenu tant qu'il ne viole pas le principe de la proportionnalité, notamment sous l'angle des conditions minimales d'existence (art. 12 Cst. [Constitution fédérale de la Confédération suisse du 18 avril 1999; RS 101]), de sorte qu'une éventuelle atteinte au minimum vital du prévenu doit déjà être examinée au stade du séquestre (ATF 141 IV 360 consid. 3.2; ATF 140 IV 57 consid. 4; Dupuis et alii , Petit commentaire CP, 2 e éd., Bâle 2017, n. 18 ad art. 71 CP et les références citées).</w:t>
      </w:r>
    </w:p>
    <w:p>
      <w:r>
        <w:rPr>
          <w:b/>
        </w:rPr>
        <w:t>E. 2.1.3</w:t>
      </w:r>
    </w:p>
    <w:p>
      <w:r>
        <w:t>L'art. 73 al. 1 CP permet notamment au juge d'allouer au lésé, en compensation de son dommage, le montant des peines et amendes payées par le condamné, les objets et les valeurs patrimoniales confisqués ou le produit de leur réalisation, ainsi que les créances compensatrices et le montant du cautionnement préventif.</w:t>
      </w:r>
    </w:p>
    <w:p>
      <w:r>
        <w:rPr>
          <w:b/>
        </w:rPr>
        <w:t>E. 2.2.1</w:t>
      </w:r>
    </w:p>
    <w:p>
      <w:r>
        <w:t>ci-dessus. Elle ignore les moyens précisément articulés par les plaignantes dans leurs requêtes de séquestres et les liens évidents entre les actes incriminés et tous les comptes bancaires des prévenus, qui ont certainement pu tirer profit des malversations qui leur sont reprochées. Tous les mouvements de fonds indus décrits aux considérants</w:t>
      </w:r>
    </w:p>
    <w:p>
      <w:r>
        <w:rPr>
          <w:b/>
        </w:rPr>
        <w:t>E. 2.2.2</w:t>
      </w:r>
    </w:p>
    <w:p>
      <w:r>
        <w:t>Garanti par les art. 3 al. 2 let. c, 107 CPP, 29 al. 2 Cst. et 6 par. 1 CEDH (Convention de sauvegarde des droits de l’homme et des libertés fondamentales du 4 novembre; RS 0.101), le droit d'être entendu comprend le droit pour le justiciable de recevoir une décision motivée. L’obligation de motiver est respectée lorsque le juge mentionne, au moins brièvement, les motifs qui l’ont guidé et sur lesquels il a fondé sa décision, de manière à ce que l’intéressé puisse se rendre compte de la portée de celle-ci et l’attaquer en connaissance de cause (ATF 143 III 65 consid. 5.3; ATF 142 I 135 consid. 2.1; TF 6B_1268/2018 du 15 février 2018 consid. 3.1). Le droit d'être entendu est une garantie constitutionnelle de caractère formel, dont la violation doit entraîner l'annulation de la décision, indépendamment des chances de succès du recours sur le fond (ATF 135 I 187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TF 1B_524/2012 du 15 novembre 2012 consid. 2.1).</w:t>
      </w:r>
    </w:p>
    <w:p>
      <w:r>
        <w:rPr>
          <w:b/>
        </w:rPr>
        <w:t>E. 2.3.1</w:t>
      </w:r>
    </w:p>
    <w:p>
      <w:r>
        <w:t>à 2.3.4 ci-dessus sont à première vue identifiables, ou à tout le moins pourraient l’être. A supposer même que tel ne soit pas le cas, il est manifeste qu’au vu des montants en cause devant, en l’état, être tenus pour soustraits, pour un total de 594'508 fr. 40, il est nécessaire de préserver les valeurs demeurées en mains des prévenus. Ces avoirs pourraient être restitués aux plaignants ou confisqués. D’après la jurisprudence, le séquestre pénal est une mesure conservatoire provisoire destinée à préserver les objets ou valeurs qui peuvent servir de moyens de preuve, que le juge du fond pourrait être amené à confisquer ou à restituer au lésé, ou qui pourraient servir à l'exécution d'une créance compensatrice (art. 263 al. 1 CPP). Elle est proportionnée lorsqu'elle porte sur des avoirs dont on peut admettre en particulier qu'ils pourront être vraisemblablement confisqués ou restitués en application du droit. Tant que l'instruction n'est pas achevée et que subsiste une possibilité de confiscation, de créance compensatrice ou d'une allocation au lésé, la mesure conservatoire doit être maintenue (ATF 141 IV 360 consid. 3.2 et les réf. citées; ATF 140 IV 57 consid. 4.1.2 p. 64 et les arrêts cités). Il n'en va pas différemment dans l'hypothèse particulière où le séquestre tendrait uniquement à garantir une éventuelle créance compensatrice. Certes, ce type de séquestre peut porter sur tous les biens, valeurs et/ou revenus de l'intéressé sans qu'un lien de connexité avec l'infraction ne soit exigé (ATF 141 IV 360 consid. 3.2 et les réf. citées; ATF 140 IV 57 consid. 4.1.2 p. 63 s.). Toutefois, tant que l'étendue de la mesure ne paraît pas manifestement violer le principe de proportionnalité, notamment sous l'angle du respect des conditions minimales d'existence, le séquestre doit être maintenu (arrêts précités, ibidem). L'autorité doit pouvoir statuer rapidement (cf. art. 263 al. 2 CPP), ce qui exclut qu'elle résolve des questions juridiques complexes ou qu'elle attende d'être renseignée de manière exacte et complète sur les faits avant d'agir (arrêts précités, ibidem).</w:t>
      </w:r>
    </w:p>
    <w:p>
      <w:r>
        <w:rPr>
          <w:b/>
        </w:rPr>
        <w:t>E. 2.3.2</w:t>
      </w:r>
    </w:p>
    <w:p>
      <w:r>
        <w:t>Il est également reproché aux prévenus de n’avoir pas reversé, depuis leurs comptes [...] (n° [...] de X.________ et n° [...] de F.________), des sommes qui provenaient de Chine et qui étaient destinées aux plaignantes, pour un total de 88'445 fr. 10 au détriment de K.________ et de 7'517 fr. 80 au détriment de M.________, soit un montant global de 95'962 fr. 90, s’agissant notamment de prétendus « compléments de salaire » en faveur du prévenu.</w:t>
      </w:r>
    </w:p>
    <w:p>
      <w:r>
        <w:rPr>
          <w:b/>
        </w:rPr>
        <w:t>E. 2.3.3</w:t>
      </w:r>
    </w:p>
    <w:p>
      <w:r>
        <w:t>Il est en outre fait grief au prévenu de s’être fait verser, en plus des « compléments de salaire » mentionnés plus haut, d’autres montants sans cause sur son compte [...] par le débit des comptes des plaignantes, soit 153'286 fr. de K.________ et 60'437 fr. 25 de M.________, soit un montant global de 213'723 fr. 25.</w:t>
      </w:r>
    </w:p>
    <w:p>
      <w:r>
        <w:rPr>
          <w:b/>
        </w:rPr>
        <w:t>E. 2.3.4</w:t>
      </w:r>
    </w:p>
    <w:p>
      <w:r>
        <w:t>Il est enfin reproché aux prévenus d’avoir fait prendre en charge par les plaignantes des frais de nature privée, pour un total de 52'852 fr. 25 à la charge de K.________ et de 1'570 fr. à la charge de M.________, soit un montant global de 54'422 fr. 25.</w:t>
      </w:r>
    </w:p>
    <w:p>
      <w:r>
        <w:rPr>
          <w:b/>
        </w:rPr>
        <w:t>E. 3.1</w:t>
      </w:r>
    </w:p>
    <w:p>
      <w:r>
        <w:t>D’abord, il ressort du dossier que des soupçons suffisants laissent présumer une infraction au sens de l’art. 197 al. 1 let. b CPP, soit des abus de confiance, subsidiairement des actes de gestion déloyale, ce au détriment des recourantes. En effet, les époux prévenus ne contestent pas avoir bénéficié de compléments de salaire à hauteur de 230'400 fr. au total, mais prétendent que les prélèvements correspondants auraient été autorisés ; or, aucun élément du dossier ne corrobore une telle autorisation ; au contraire, les décomptes et certificats de salaires des prévenus pour la période considérée, ainsi que l’audition d’[...], collaborateur de la fiduciaire [...] (PV aud. 4), vont dans le sens d’un salaire mensuel brut de 3'500 fr., et non de 6'000 francs. Quant aux versements indus et transactions suspectes depuis, ou vers les comptes [...] des prévenus, en particulier depuis les comptes [...] des recourantes, les prévenus ne parviennent pas à les expliquer, ni, a fortiori, à étayer les prétendues créances qu’ils détiendraient à l’encontre des recourantes invoquées en compensation.</w:t>
      </w:r>
    </w:p>
    <w:p>
      <w:r>
        <w:rPr>
          <w:b/>
        </w:rPr>
        <w:t>E. 3.2</w:t>
      </w:r>
    </w:p>
    <w:p>
      <w:r>
        <w:t>Ensuite, force est de constater que la Procureure ne s’est pas prononcée sur les quatre comptes de [...], dont les recourantes demandent le séquestre. Cette lacune constitue une violation du droit des parties d’être entendues, soit de recevoir une décision motivée. En principe, le vice ne peut être guéri en procédure de recours, sauf dans des cas très particuliers, non réalisés en l’espèce. En effet, le Ministère public s’est limité à se référer entièrement aux considérants de son ordonnance. Cela commande l’annulation de l’ordonnance en tant qu’elle porte sur les comptes de [...].</w:t>
      </w:r>
    </w:p>
    <w:p>
      <w:r>
        <w:rPr>
          <w:b/>
        </w:rPr>
        <w:t>E. 3.3</w:t>
      </w:r>
    </w:p>
    <w:p>
      <w:r>
        <w:t>Dans la mesure où la requête porte sur les séquestre des comptes (et coffres) des prévenus, la Procureure a, en substance, retenu que les sommes d’argent que les plaignantes estiment avoir été détournées à leur détriment avaient été utilisées et n’étaient désormais plus disponibles, étant ajouté qu'un mélange avait depuis lors été opéré avec d’autres revenus, licites, des prévenus. Ce serait ce mélange de deniers de diverses provenances qui, selon la magistrate, excluait le séquestre (ordonnance, p. 3, 1 er par. in fine). Cette motivation est contraire à la jurisprudence fédérale résumée au considérant</w:t>
      </w:r>
    </w:p>
    <w:p>
      <w:r>
        <w:rPr>
          <w:b/>
        </w:rPr>
        <w:t>E. 3.4</w:t>
      </w:r>
    </w:p>
    <w:p>
      <w:r>
        <w:t>En l’espèce, on ne sait quels sont les montant figurant sur les comptes des prévenus, ni quelles sont les conditions minimales d'existence des intéressés. Pour autant, il convient, conformément à la jurisprudence ci-dessus, de statuer rapidement, donc en l’état du dossier. On ne discerne pas en quoi les séquestres porteraient par principe atteinte au minimum vital des prévenus, qui, nés l’un en 1975 et l’autre en 1979, sont en mesure d’exercer une activité lucrative soutenue, comme ils le font depuis plusieurs années. Dès lors que subsiste une possibilité de confiscation, de créance compensatrice ou d'une allocation au lésé, il y a lieu d’admettre la requête de séquestre en tant qu’elle porte sur les comptes bancaires des prévenus. Quant aux comptes de [...], l’ordonnance doit, comme déjà indiqué, être annulée pour défaut complet de motivation.</w:t>
      </w:r>
    </w:p>
    <w:p>
      <w:r>
        <w:rPr>
          <w:b/>
        </w:rPr>
        <w:t>E. 4</w:t>
      </w:r>
    </w:p>
    <w:p>
      <w:r>
        <w:t>Au vu de ce qui précède, le recours doit être admis, les chiffres I et II  du dispositif de l’ordonnance du 26 mars 2019 réformés en ce sens que le séquestre des comptes suivants est ordonné : [...] n° [...], [...] n° [...], [...] n° [...] et [...] n° [...] (de X.________), ainsi que [...] n° [...] (de F.________), d’une part, et le chiffre III du dispositif de l’ordonnance annulé et le dossier de la cause renvoyé au Ministère public de l'arrondissement de Lausanne, pour qu'il rende une nouvelle décision motivée dans un délai de dix jours dès la notification du présent arrêt en ce qui concerne le rejet, respectivement, le cas échéant, l’admission de la requête de séquestre en tant qu’elle porte sur les comptes suivants : [...] n° [...], [...] n° [...], [...] n° [...] et [...] n° [...] (de [...]), d’autre part. Les frais de la procédure de recours, constitués en l’espèce de l’émolument d'arrêt, par 1’320 fr. (art. 20 al. 1 TFIP [Tarif des frais de procédure et indemnités en matière pénale du 28 septembre 2010; BLV 312.03.1]), seront laissés à la charge de l’Etat. Les recourantes, qui ont procédé en commun avec l’assistance d’un conseil de choix, ont obtenu gain de cause. M.________ et K.________ ont ainsi droit à une pleine indemnité pour les dépenses occasionnées par la procédure de recours (art. 433 al. 1 CPP, applicable par renvoi de l’art. 436 al. 1 CPP). Cette indemnité doit être arrêtée sur la base de six heures d’activité d’avocat à 300 fr. l’heure. Les débours seront fixés forfaitairement à 2 % des honoraires. Pour le reste, il doit être rappelé que, si les indemnités au sens des art. 429 ss CPP ne sont pas soumises à la TVA (art. 18 al. 2 let. i LTVA [Loi fédérale régissant la taxe sur la valeur ajoutée du 12 juin 2009; RS 641.20]), il convient de tenir compte du fait que les honoraires payés par la partie à son avocat sont quant à eux soumis à la TVA (CREP 19 mars 2015/91 consid. 3.1.2). Un montant correspondant à la TVA doit donc être pris en compte, au taux de 7,7 %. Compte tenu d’un montant de 141 fr. 35 au titre de la TVA, l’indemnité totale s’élève à 1’977 fr. 35. Les parties intimées n’ont pas procédé, faute d’en avoir été requises, pour ménager l’effet de surprise en cas de prononcé d’au moins un séquestre (cf. consid. 5 ci-dessous). Elles ne succombent donc pas à l’égard des recourantes. C’est donc à la charge de l’Etat que l’indemnité sera allouée aux recourantes, solidairement entre elles.</w:t>
      </w:r>
    </w:p>
    <w:p>
      <w:r>
        <w:rPr>
          <w:b/>
        </w:rPr>
        <w:t>E. 5</w:t>
      </w:r>
    </w:p>
    <w:p>
      <w:r>
        <w:t>La jurisprudence permet qu’un arrêt admettant un séquestre ne soit pas notifié au prévenu, pour que l'effet de surprise, indispensable à la mise en œuvre du séquestre, ne s'en trouve pas compromis (cf., par analogie, ATF 139 III 135 consid. 4.5.2; CREP 17 août 2018/629 consid. 4; CREP 25 novembre 2016/808 consid. 3). Dans ces circonstances, la notification du présent arrêt aux prévenus et à [...] doit être différée de quelques jours pour ménager l’effet de surprise indispensable à la mise en œuvre des séquestres et permettre à la Procureure de procéder à ces mesures dans cet intervalle. En effet, qui peut le plus en renonçant à notifier un arrêt peut le moins en en différant la notification. L’arrêt sera donc notifié en premier lieu aux plaignantes, par leur conseil commun, ainsi qu’au Ministère public central, à la Procureure de l’arrondissement de Lausanne et à la [...]. Ce n’est qu’après l’échéance du délai de dix jours fixé à la Procureure de l'arrondissement de Lausanne pour rendre une nouvelle ordonnance motivée (cf. consid. 3.2 et 4 in initio ci-dessus) que l’arrêt sera notifié aux prévenus et à [...]. Par ces motifs, la Chambre des recours pénale prononce : I. Le recours est admis. II. Les chiffres I et II du dispositif de l’ordonnance du 26 mars 2019 sont réformés en ce sens que le séquestre des comptes suivants est ordonné : [...] n[...], [...] n° [...], [...] n° [...] et [...] n° [...] (de X.________), ainsi que [...] n° [...] (de F.________). III. Le chiffre III du dispositif de l’ordonnance du 26 mars 2019 est annulé et le dossier de la cause renvoyé au Ministère public de l'arrondissement de Lausanne, pour qu'il rende une nouvelle décision motivée dans un délai de dix jours dès la notification du présent arrêt en ce qui concerne le rejet, respectivement, le cas échéant, l’admission de la requête de séquestre en tant qu’elle porte sur les comptes suivants : [...] n° [...], [...] n° [...], [...] n° [...] et [...] n° [...] (de [...]). IV. Une indemnité de 1’977 fr. 35 (mille neuf cent septante-sept francs et trente-cinq centimes) est allouée à M.________ et à K.________, solidairement entre elles, pour la procédure de recours, à la charge de l’Etat. V. Les frais d'arrêt, par 1’320 fr. (mille trois cent vingt francs), sont laissés à la charge de l’Etat. VI. L’arrêt est exécutoire. Le président :               Le greffier : Du Le présent arrêt, dont la rédaction a été approuvée à huis clos, est notifié, par l'envoi d'une copie complète, par notification immédiate, à : - Me Marc Henzelin, avocat (pour M.________ et K.________), - [...], Service juridique, - Ministère public central, - Mme la Procureure de l'arrondissement de Lausanne, et, par notification différée selon le considérant 5 du présent arrêt, à - Me Jacques Bonfils, avocat (pour X.________), - Me Marc Ursenbacher, avocat (pour F.________), - Mme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