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365 vom 6. Mai 2019</w:t>
      </w:r>
    </w:p>
    <w:p>
      <w:r>
        <w:t>VD Tribunal cantonal, 2019-05-06, FR</w:t>
      </w:r>
    </w:p>
    <w:p>
      <w:r>
        <w:rPr>
          <w:b/>
        </w:rPr>
        <w:t xml:space="preserve">Quelle: </w:t>
      </w:r>
      <w:r>
        <w:t>https://mcp.opencaselaw.ch/entscheid/vd_findinfo_D_cision___2019___365</w:t>
      </w:r>
    </w:p>
    <w:p>
      <w:r>
        <w:t>FR: VD_FINDINFO Décision / 2019 / 365 du 6 mai 2019</w:t>
      </w:r>
    </w:p>
    <w:p>
      <w:r>
        <w:t>IT: VD_FINDINFO Décision / 2019 / 365 del 6 maggio 2019</w:t>
      </w:r>
    </w:p>
    <w:p>
      <w:pPr>
        <w:pStyle w:val="Heading2"/>
      </w:pPr>
      <w:r>
        <w:t>Regeste</w:t>
      </w:r>
    </w:p>
    <w:p>
      <w:r>
        <w:t>ORDONNANCE PÉNALE, OPPOSITION{PROCÉDURE}, FICTION, RETRAIT{VOIE DE DROIT} | 356 al. 4 CPP (CH)</w:t>
      </w:r>
    </w:p>
    <w:p>
      <w:pPr>
        <w:pStyle w:val="Heading2"/>
      </w:pPr>
      <w:r>
        <w:t>Erwägungen</w:t>
      </w:r>
    </w:p>
    <w:p>
      <w:r>
        <w:rPr>
          <w:b/>
        </w:rPr>
        <w:t>E. 1.1</w:t>
      </w:r>
    </w:p>
    <w:p>
      <w:r>
        <w:t>Aux termes de l’art. 393 al. 1 let. b CPP (Code de procédure pénale du 5 octobre 2007; RS 312.0), le recours est recevable contre les ordonnances, les décisions et les actes de procédure des tribunaux de première instance, sauf contre ceux de la direction de la procédure. Le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dès la notification de la décision attaquée (cf. art. 384 let. b CPP), à l’autorité de recours (art. 396 al. 1 CPP).</w:t>
      </w:r>
    </w:p>
    <w:p>
      <w:r>
        <w:rPr>
          <w:b/>
        </w:rPr>
        <w:t>E. 1.2</w:t>
      </w:r>
    </w:p>
    <w:p>
      <w:r>
        <w:t>En l’espèce, interjeté en temps utile – devant le Tribunal de police qui l’a transmis à l’autorité de céans comme objet de sa compétence conformément à l’art. 91 al. 4 CPP – par le prévenu qui a qualité pour recourir (art. 382 al. 1 CPP) et satisfaisant aux exigences de forme (art. 385 al. 1 CPP), le recours déposé par X.________ est recevable.</w:t>
      </w:r>
    </w:p>
    <w:p>
      <w:r>
        <w:rPr>
          <w:b/>
        </w:rPr>
        <w:t>E. 2.1</w:t>
      </w:r>
    </w:p>
    <w:p>
      <w:r>
        <w:t>Les art. 201 à 206 CPP règlent le mandat de comparution.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w:t>
      </w:r>
    </w:p>
    <w:p>
      <w:r>
        <w:rPr>
          <w:b/>
        </w:rPr>
        <w:t>E. 2.2</w:t>
      </w:r>
    </w:p>
    <w:p>
      <w:r>
        <w:t>En l’espèce, il ressort du relevé de suivi des envois de la Poste que le recourant a retiré la citation à comparaître à l’audience du 26 mars 2019, datée du</w:t>
      </w:r>
    </w:p>
    <w:p>
      <w:r>
        <w:rPr>
          <w:b/>
        </w:rPr>
        <w:t>E. 5</w:t>
      </w:r>
    </w:p>
    <w:p>
      <w:r>
        <w:t>CPP). Aux termes de l’art. 356 al. 4 CPP, si l’opposant fait défaut aux débats devant le tribunal de première instance sans être excusé et sans se faire représenter, son opposition est réputée retirée. L’ordonnance pénale n’est compatible avec la garantie constitutionnelle de l’accès au juge (art. 29a Cst. [Constitution fédérale de la Confédération suisse du 18 avril 1999; RS 101]), respectivement avec le droit à ce qu’une cause soit entendue par un tribunal jouissant d’un plein pouvoir d’examen (art. 6 ch. 1 CEDH [Convention du 4 novembre 1950 de sauvegarde des droits de l’homme et des libertés fondamentales;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références citées, JdT 2017 IV 46; ATF 140 IV 82 consid. 2.3, JdT 2014 IV 301; TF 6B_152/2013 du 27 mai 2013 consid. 4.5). L’art. 356 al. 4 CPP ne définit pas à quelles conditions un empêchement peut être considéré comme excusé ou non.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références citées, JdT 2017 IV 46; ATF 140 IV 82 consid. 2.6, JdT 2014 IV 301). Demeurent réservés les cas d’abus de droit (cf. ATF 142 IV 158 consid. 3.4 et les références citées, JdT 2017 IV 46; ATF 140 IV 82 consid. 2.7, JdT 2014 IV 301). Cette jurisprudence développée en lien avec l’art. 355 al. 2 CPP s’applique dans la même mesure à l’art. 356 al. 4 CPP, s’agissant des normes correspondantes (cf. ATF 142 IV 158 consid. 3.5 et les références citées, JdT 2017 IV 46; TF 6B_397/2015 du 26 novembre 2015 consid. 1.2).</w:t>
      </w:r>
    </w:p>
    <w:p>
      <w:r>
        <w:rPr>
          <w:b/>
        </w:rPr>
        <w:t>E. 8</w:t>
      </w:r>
    </w:p>
    <w:p>
      <w:r>
        <w:t>février 2019, au guichet de la Poste de […], le 16 février 2019. Cette citation mentionnait expressément les conséquences d’un défaut non excusé à cette audience, et le recourant ne peut pas prétendre – ce qu’il ne fait du reste pas – qu’il n’aurait pas compris cet avertissement pour des raisons linguistiques, puisqu’il ressort du dossier qu’il est capable d’adresser des courriers rédigés en français aux autorités, respectivement de se faire aider pour le faire (cf. P. 7, 15 et 20). Cela étant, celui-ci ne conteste pas non plus avoir reçu la convocation à l’audience du 26 mars 2019 et il est manifeste qu’il était conscient qu’il devait comparaître, puisque le 18 février 2019, une collaboratrice du […] a même pris contact avec le greffe du Tribunal pour organiser la présence d’un interprète. Force est dès lors de constater que le recourant, qui ne s’est pas présenté, sans excuse, à l’audience du 26 mars 2019, est réputé avoir renoncé à ses droits de procédure en toute connaissance de cause. Dans son recours, X.________ expose qu’il a été « confus dans la date », qu’il a une vie chargée et que sa compagne sollicitait son aide en raison de sa santé, si bien que son état de préoccupation à cet égard aurait participé à sa confusion. Ce faisant, l’intéressé ne se prévaut ni d’un cas de force majeure, ni d’une impossibilité subjective due à des circonstances personnelles – suffisantes –, ni d’une erreur qui ne lui serait pas imputable. Il se prévaut uniquement d’une confusion de date, qui ne saurait à l’évidence constituer une excuse valable et suffisante (cf. CREP 3 avril 2019/266 consid. 2.2), au regard de la jurisprudence, restrictive à cet égard. Partant, c’est à bon droit que le Tribunal de police de l’arrondissement de Lausanne a considéré que le recourant était réputé avoir retiré son opposition à l’ordonnance pénale du 30 novembre 2018 en raison de son défaut non excusé à l’audience du 26 mars 2019. 3. Au vu de ce qui précède, le recours, manifestement mal fondé, doit être rejeté sans échange d’écritures (art. 390 al. 2 CPP), et le prononcé du 26 mars 2019 confirmé. Les frais de la procédure de recours, constitués en l’espèce de l’émolu­ment d'arrêt, par 660 fr. (art. 20 al. 1 [Tarif des frais de procédure et indemnités en matière pénale du 28 septembre 2010; BLV 312.03.1]), seront mis à la charge du recourant, qui succombe (art. 428 al. 1 CPP). Par ces motifs, la Chambre des recours pénale prononce : I. Le recours est rejeté. II. Le prononcé du 26 mars 2019 est confirmé. III. Les frais d’arrêt, par 660 fr. (six cent soixante francs), sont mis à la charge de X.________. IV. L’arrêt est exécutoire. Le président :               Le greffier : Du Le présent arrêt, dont la rédaction a été approuvée à huis clos, est notifié, par l'envoi d'une copie complète, à : - M. X.________, - Ministère public central, et communiqué à : ‑ M. le Président du Tribunal de police de l’arrondissement de Lausanne, - M. le Procureur de l’arrondissement de Lausanne, - M. […],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