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362 vom 1. Mai 2019</w:t>
      </w:r>
    </w:p>
    <w:p>
      <w:r>
        <w:t>VD Tribunal cantonal, 2019-05-01, FR</w:t>
      </w:r>
    </w:p>
    <w:p>
      <w:r>
        <w:rPr>
          <w:b/>
        </w:rPr>
        <w:t xml:space="preserve">Quelle: </w:t>
      </w:r>
      <w:r>
        <w:t>https://mcp.opencaselaw.ch/entscheid/vd_findinfo_D_cision___2019___362</w:t>
      </w:r>
    </w:p>
    <w:p>
      <w:r>
        <w:t>FR: VD_FINDINFO Décision / 2019 / 362 du 1 mai 2019</w:t>
      </w:r>
    </w:p>
    <w:p>
      <w:r>
        <w:t>IT: VD_FINDINFO Décision / 2019 / 362 del 1 maggio 2019</w:t>
      </w:r>
    </w:p>
    <w:p>
      <w:pPr>
        <w:pStyle w:val="Heading2"/>
      </w:pPr>
      <w:r>
        <w:t>Regeste</w:t>
      </w:r>
    </w:p>
    <w:p>
      <w:r>
        <w:t>ORDONNANCE DE SÉQUESTRE, ABUS DE CONFIANCE, REJET DE LA DEMANDE, MOTIVATION DE LA DÉCISION, IMMEUBLE | 263 al. 1 let. b CPP (CH), 263 al. 1 let. d CPP (CH), 263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 Lembo/Julen Berthod, in : Kuhn/Jeanneret [éd.], Commentaire romand, Code de procédure pénale suisse, Bâle 2011, n. 4 ad art. 267 CPP ; CREP 11 janvier 2017/21 et les références citées). Ce recours s’exerce par écrit dans les dix jours devant l’autorité de recours (art. 396 al.</w:t>
      </w:r>
    </w:p>
    <w:p>
      <w:r>
        <w:rPr>
          <w:b/>
        </w:rPr>
        <w:t>E. 1.2</w:t>
      </w:r>
    </w:p>
    <w:p>
      <w:r>
        <w:t>Interjeté en temps utile par le prévenu, qui a un intérêt juridique à l’annulation ou à la modification de l’ordonnance entreprise (art. 382 al. 1 CPP), et dans les formes prescrites (art. 385 al. 1 CPP), le recours est recevable.</w:t>
      </w:r>
    </w:p>
    <w:p>
      <w:r>
        <w:rPr>
          <w:b/>
        </w:rPr>
        <w:t>E. 2</w:t>
      </w:r>
    </w:p>
    <w:p>
      <w:r>
        <w:t>Le séquestre pénal est prononcé en principe sur la base de l'art. 263 CPP, qui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est ordonné par voie d'ordonnance écrite, brièvement motivée (art. 263 al. 2, 1 re phr.,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3.1</w:t>
      </w:r>
    </w:p>
    <w:p>
      <w:r>
        <w:t>Dans un premier moyen, le recourant soutient que l’ordonnance n’est pas assez motivée. Les motifs du séquestre seraient ainsi inconnus du recourant, le Ministère public n’indiquant ni les considérations l’ayant conduit à prononcer le séquestre, ni les fondements de son raisonnement.</w:t>
      </w:r>
    </w:p>
    <w:p>
      <w:r>
        <w:rPr>
          <w:b/>
        </w:rPr>
        <w:t>E. 3.2</w:t>
      </w:r>
    </w:p>
    <w:p>
      <w:r>
        <w:t>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(Lembo/Julen Berthod, op. cit., n. 35 ad art. 263 CPP). Selon la jurisprudence constante de la Cour de céans, le défaut de motivation conduit en principe à l'annulation de l'ordonnance et au renvoi du dossier à l'autorité saisie de la cause pour nouvelle décision. La seule référence à la norme légale est insuffisante sous l'angle des exigences de motivation de la décision et viole le droit d'être entendu de la personne dont les biens ont été saisis (CREP 1 er juin 2018/415 ; CREP 17 avril 2018/287 ; CREP 28 septembre 2017/662 ; CREP 13 janvier 2017/28). En revanche, une motivation très brève est suffisante si elle permet à l’intéressé, au vu du contexte général de la cause, de discerner le lien entre les faits qui lui sont reprochés et les objets saisis (CREP 14 janvier 2019/35 ; CREP 23 mars 2018/223 ; CREP 15 juin 2017/393 ; TPF BB.2012.3 du 15 mai 2012 consid. 2.1, in JdT 2013 IV 131-132). L’autorité de recours dispose en outre d’un pouvoir d’examen étendu et n’est pas limitée aux motifs invoqués par l’autorité précédente (art. 393 al. 2 CPP). La Cour de céans peut ainsi examiner d’office si le séquestre se justifie pour d’autres motifs (CREP 23 mars 2018/223 ; CREP 17 juillet 2015/474 ; CREP 21 mai 2014/353).</w:t>
      </w:r>
    </w:p>
    <w:p>
      <w:r>
        <w:rPr>
          <w:b/>
        </w:rPr>
        <w:t>E. 3.3</w:t>
      </w:r>
    </w:p>
    <w:p>
      <w:r>
        <w:t>Dans le cas d’espèce, quand bien même elle est très brève, la motivation de l’ordonnance attaquée est largement suffisante pour permettre au recourant de comprendre le lien entre les faits qui lui sont reprochés, et qui lui sont d’ailleurs rappelés dans ladite décision – à savoir de s’être approprié sans droit la somme de 200'000 fr. auprès de la [...] –, et les biens immobiliers séquestrés dont la réalisation permettrait de garantir, comme indiqué par la Procureure, le paiement des frais et d’une éventuelle créance compensatrice. Ainsi, la motivation de l’ordonnance attaquée est suffisante et respecte le droit d’être entendu du recourant. Le moyen est infondé.</w:t>
      </w:r>
    </w:p>
    <w:p>
      <w:r>
        <w:rPr>
          <w:b/>
        </w:rPr>
        <w:t>E. 4.1</w:t>
      </w:r>
    </w:p>
    <w:p>
      <w:r>
        <w:t>S’agissant du séquestre à titre de garantie des frais, des peines pécuniaires, amendes et autres indemnités (art. 263 al. 1 let. b CPP), le recourant en conteste la proportionnalité. La valeur du patrimoine séquestré, qu’il estime entre 130'000 et 140'000 fr., excèderait très largement le montant nécessaire à la couverture des frais et indemnités.</w:t>
      </w:r>
    </w:p>
    <w:p>
      <w:r>
        <w:rPr>
          <w:b/>
        </w:rPr>
        <w:t>E. 4.1.2</w:t>
      </w:r>
    </w:p>
    <w:p>
      <w:r>
        <w:t>et les références citées ; CREP 3 novembre 2016/737).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précité consid. 4.1.2 et les références citées).</w:t>
      </w:r>
    </w:p>
    <w:p>
      <w:r>
        <w:rPr>
          <w:b/>
        </w:rPr>
        <w:t>E. 4.2</w:t>
      </w:r>
    </w:p>
    <w:p>
      <w:r>
        <w:t>Le séquestre à des fins de garantie ou en couverture des frais (art. 263 al. 1 let. b CPP) a pour but d’assurer à l’Etat le paiement des frais de procédure (art. 422 CPP), des peines pécuniaires (art. 34 ss CP [Code pénal suisse du 21 décembre 1937 ; RS 311.0]), des amendes (art. 106 CP) et des autres indemnités (art. 429 ss CPP) que la procédure a pu faire naître à la charge du prévenu (Moreillon/Parein-Reymond, op. cit., n. 13 ad art. 263 CPP). Le principe de la proportionnalité (art. 36 al. 3 Cst. [Constitution fédérale du 18 avril 1999 ; RS 101]) exige que le moyen choisi soit apte à atteindre le but visé (règle de l'aptitude) et que celui-ci ne puisse pas être atteint par une mesure moins incisive (règle de la nécessité). Il faut, en outre, que la mesure n’emporte pas de limitation allant au-delà du but visé. Il doit encore exister un rapport raisonnable entre le séquestre et les intérêts privés compromis, eu égard à la gravité de l’infraction et des charges qui pèsent sur le prévenu (principe de la proportionnalité au sens étroit). Ce séquestre impose donc de prendre en compte le revenu et la fortune du prévenu (art. 268 al. 2 CPP) et d’exclure le séquestre des valeurs insaisissables selon les art. 92 à 94 LP (Loi fédérale sur la poursuite pour dettes et la faillite du 11 avril 1889 ; RS 281.1) (ATF 141 IV 360 ; CREP 14 décembre 2018/985 et les références citées).</w:t>
      </w:r>
    </w:p>
    <w:p>
      <w:r>
        <w:rPr>
          <w:b/>
        </w:rPr>
        <w:t>E. 4.3</w:t>
      </w:r>
    </w:p>
    <w:p>
      <w:r>
        <w:t>ci-dessus. De plus, la volonté du recourant de rembourser la [...] ne reste à ce stade qu’un vœu pieux de ce dernier qui n’a restitué, à ce jour, que moins du quart de la somme qu’il s’est approprié sans droit. S’agissant du fait qu’il n’y aurait plus matière à confiscation une fois le préjudice remboursé, cela n’est encore qu’une allégation du prévenu, insuffisante pour lever le séquestre. En l’occurrence, sous déduction du montant de 40'000 fr. qu’il a restitué, le recourant ne dispose plus des valeurs patrimoniales qui sont le résultat de l’infraction qu’il a commise. Elles pourraient dès lors être remplacées par une créance compensatrice de l’Etat d’un montant équivalent. Le séquestre en vue de l’exécution de ladite créance n’exigeant pas de lien de connexité avec l’infraction commise, l’ultime grief invoqué par le recourant selon lequel le financement de ses biens immobiliers proviendrait essentiellement de source légale n’est dès lors pas pertinent. Ainsi, le séquestre des biens immobiliers du recourant est justifié pour ce motif également.</w:t>
      </w:r>
    </w:p>
    <w:p>
      <w:r>
        <w:rPr>
          <w:b/>
        </w:rPr>
        <w:t>E. 5.1</w:t>
      </w:r>
    </w:p>
    <w:p>
      <w:r>
        <w:t>Le recourant conteste ensuite le motif tiré de la garantie d’une éventuelle créance compensatrice. Il invoque une violation du principe de la proportionnalité, ainsi que le fait d’avoir indiqué dès le début de l’instruction sa volonté de rembourser intégralement la [...] et qu’une fois le préjudice remboursé, il n’y aurait plus matière à confiscation. Il ajoute encore que le financement de ses biens immobiliers proviendrait essentiellement de source légale.</w:t>
      </w:r>
    </w:p>
    <w:p>
      <w:r>
        <w:rPr>
          <w:b/>
        </w:rPr>
        <w:t>E. 5.2</w:t>
      </w:r>
    </w:p>
    <w:p>
      <w:r>
        <w:t>S'agissant d'un séquestre en vue de confiscation (art.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 subsister.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précité consid.</w:t>
      </w:r>
    </w:p>
    <w:p>
      <w:r>
        <w:rPr>
          <w:b/>
        </w:rPr>
        <w:t>E. 5.3</w:t>
      </w:r>
    </w:p>
    <w:p>
      <w:r>
        <w:t>Dans le cas d’espèce, le principe de la proportionnalité est respecté par identité des motifs exposés sous considérant</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(art. 26a al. 6 TFIP) par 10 fr. 80, plus la TVA par 42 fr. 40, soit à 593 fr. 20 au total, seront mis à la charge du recourant, qui succombe (art. 428 al. 2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19 février 2019 est confirmée III. L’indemnité allouée au défenseur d’office d’O.________ est fixée à 593 fr. 20 (cinq cent nonante-trois francs et vingt centimes). IV. Les frais d’arrêt, par 990 fr. (neuf cent nonante francs), ainsi que l’indemnité due au défenseur d’office d'O.________, par 593 fr. 20 (cinq cent nonante-trois francs et vingt centimes), sont mis à la charge de ce dernier. V. Le remboursement à l’Etat de l’indemnité allouée au chiffre III ci-dessus ne pourra être exigé d'O.________ que pour autant que sa situation financière le permette. VI. L’arrêt est exécutoire. Le président :               Le greffier : Du Le présent arrêt, dont la rédaction a été approuvée à huis clos, est notifié, par l'envoi d'une copie complète, à : - Me Anne-Claire Boudry (pour O.________), - Registre foncier de la Broye et du Nord vaudois, - Ministère public central, et communiqué à : ‑ Mme la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