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357 vom 30. April 2019</w:t>
      </w:r>
    </w:p>
    <w:p>
      <w:r>
        <w:t>VD Tribunal cantonal, 2019-04-30, FR</w:t>
      </w:r>
    </w:p>
    <w:p>
      <w:r>
        <w:rPr>
          <w:b/>
        </w:rPr>
        <w:t xml:space="preserve">Quelle: </w:t>
      </w:r>
      <w:r>
        <w:t>https://mcp.opencaselaw.ch/entscheid/vd_findinfo_D_cision___2019___357</w:t>
      </w:r>
    </w:p>
    <w:p>
      <w:r>
        <w:t>FR: VD_FINDINFO Décision / 2019 / 357 du 30 avril 2019</w:t>
      </w:r>
    </w:p>
    <w:p>
      <w:r>
        <w:t>IT: VD_FINDINFO Décision / 2019 / 357 del 30 aprile 2019</w:t>
      </w:r>
    </w:p>
    <w:p>
      <w:pPr>
        <w:pStyle w:val="Heading2"/>
      </w:pPr>
      <w:r>
        <w:t>Regeste</w:t>
      </w:r>
    </w:p>
    <w:p>
      <w:r>
        <w:t>RÉCUSATION | 58 CPP (CH)</w:t>
      </w:r>
    </w:p>
    <w:p>
      <w:pPr>
        <w:pStyle w:val="Heading2"/>
      </w:pPr>
      <w:r>
        <w:t>Erwägungen</w:t>
      </w:r>
    </w:p>
    <w:p>
      <w:r>
        <w:rPr>
          <w:b/>
        </w:rPr>
        <w:t>E. 1.1</w:t>
      </w:r>
    </w:p>
    <w:p>
      <w:r>
        <w:t>Une décision rendue par le Ministère public peut être attaquée par la voie du recours (art. 393 al. 1 let. a CPP [Code de procédure pénale suisse du 5 octobre 2007 ; RS 312.0]) auprès de la Chambre des recours pénale du Tribunal cantonal (art. 13 LVCPP [loi vaudoise d’introduction du Code de procédure pénale suisse du 19 mai 2009 ; BLV 312.01] ; 80 LOJV [loi d'organisation judiciaire du 12 septembre 1979 ; BLV 173.01]). Le recours doit être motivé et adressé par écrit, dans le délai de dix jours, dès la notification de la décision attaquée (art. 384 let. b et 396 al. 1 CPP).</w:t>
      </w:r>
    </w:p>
    <w:p>
      <w:r>
        <w:rPr>
          <w:b/>
        </w:rPr>
        <w:t>E. 1.2</w:t>
      </w:r>
    </w:p>
    <w:p>
      <w:r>
        <w:t>En l’espèce, interjeté dans le délai légal (art. 396 al. 1 CPP) et dans les formes prescrites (art. 385 al. 1 CPP), auprès de l’autorité compétente, par le prévenu qui a qualité pour recourir (art. 382 al. 1 CPP) contre une décision rendue par le Ministère public (cf. art. 393 al. 1 let. a CPP), le recours est recevable.</w:t>
      </w:r>
    </w:p>
    <w:p>
      <w:r>
        <w:rPr>
          <w:b/>
        </w:rPr>
        <w:t>E. 2.1</w:t>
      </w:r>
    </w:p>
    <w:p>
      <w:r>
        <w:t>Le recourant affirme que ce ne serait que le 26 mars 2019, en répondant aux questions de la Procureure et de son défenseur lors de l’audition récapitulative, qu’il aurait compris que des motifs de récusation sérieux existaient contre les inspecteurs.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consid. 2.1 ; TF 1B_277/2008 du 13 novembre 2008 consid. 2.3), ce qui semble impliquer un délai en tout cas inférieur à dix jours, voire à la semaine (Verniory, Code de procédure pénale suisse, Commentaire romand, Bâle 2011, n. 8 ad art. 58 CPP ; Boog, Basler Kommentar, Schweizerische Strafprozessordnung, Jugendstrafprozessordnung, 2 e éd., Bâle 2014, n. 5 ad art. 58 CPP et les arrêts cités). En matière pénale, est ainsi tardive la demande de récusation déposée vingt jours après avoir pris connaissance du motif de récusation (TF 1B_326/2018 du 3 septembre 2018 consid. 2). La conséquence d’une demande tardive est l’irrecevabilité de la demande (Verniory, op. cit., n. 8 ad art. 58 CPP). Cette réserve temporelle, qui concrétise le principe de bonne foi des particuliers prévu par l’art. 5 al. 3 Cst. (Constitution fédérale de la Confédération suisse du 18 avril 1999 ; RS 101), résulte de la jurisprudence fédérale (voir les nombreux arrêts cités par Boog, op. cit., n. 7 ad art. 58 CPP) et a pour but d’éviter que les parties n’utilisent la récusation comme « bouée de sauvetage », en ne formulant leur demande qu’après avoir pris connaissance d’une décision négative ou s’être rendu compte que l’instruction ne suivait pas le cours désiré (Verniory, op. cit., n.</w:t>
      </w:r>
    </w:p>
    <w:p>
      <w:r>
        <w:rPr>
          <w:b/>
        </w:rPr>
        <w:t>E. 2.3</w:t>
      </w:r>
    </w:p>
    <w:p>
      <w:r>
        <w:t>En l’occurrence, le recourant est assisté par son nouveau défenseur, Me Michaël Aymon, depuis le 20 juin 2018. Le dossier de la cause a été envoyé pour consultation le 21 juin 2018 à Me Michaël Aymon, qui l’a retourné le 22 juin 2018. Il serait pour le moins surprenant que Me Michaël Aymon ne soit pas allé s’entretenir avec son client du contenu du dossier dans les semaines qui ont suivi le 22 juin 2018. En outre, le recourant a été assisté d’un interprète pour ses quatre derniers entretiens avec l’expert psychiatre, les 24 septembre, 15 octobre, 22 octobre et 11 novembre 2018, et il a déclaré à l’expert qu’il avait été entendu par la police alors qu’il était traumatisé, sans interprète, et que la police avait introduit dans les procès-verbaux des « interprétations » et que « des phrases [avaient] été rajoutées ». Il est dès lors certain, quoi qu’en dise le recourant, que celui-ci avait connaissance depuis le 11 novembre 2018 au plus tard des motifs qu’il a invoqués à l’appui de sa demande de récusation du 1 er avril 2019. Il est impossible qu’il ne s’en soit pas ouvert à son avocat – et, partant, qu’il n’ait pas été informé de ses droits concernant une éventuelle demande de récusation – plus de trois semaines avant l’audition récapitulative du 26 mars 2019. C’est dès lors à bon droit que le Ministère public de l’arrondissement de Lausanne, constatant sa tardiveté, a rejeté la demande de récusation déposée par le recourant. 3. Il résulte de ce qui précède que le recours, manifestement mal fondé, doit être rejeté sans échange d'écritures (art. 390 al. 2 CPP) et la décision entreprise confirmée. Les frais de la procédure de recours, par 660 fr. (art. 20 al. 1 TFIP [tarif des frais de procédure et indemnités en matière pénale du 28 septembre 2010 ; BLV 312.03.1]), ainsi que les frais imputables à la défense d’office (art. 422 al. 1 et 2 let. a CPP), fixés à 360 fr., plus la TVA par 27 fr. 70, soit à 387 fr. 70 au total,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5 avril 2019 est confirmée. III. L'indemnité allouée au défenseur d'office de X.________ est fixée à 387 fr. 70 (trois cent huitante-sept francs et septante centimes). IV. Les frais d'arrêt, par 660 fr. (six cent soixante francs), ainsi que l'indemnité due au défenseur d’office de X.________, par 387 fr. 70 (trois cent huitante-sept francs et septante centimes), sont mis à la charge de ce dernier. V. Le remboursement à l'Etat de l'indemnité allouée au chiffre III ci-dessus ne sera exigible que pour autant que la situation économique de X.________ le permette. VI. L’arrêt est exécutoire. Le président :               Le greffier : Du Le présent arrêt, dont la rédaction a été approuvée à huis clos, est notifié, par l'envoi d'une copie complète, à : - Me Michaël Aymon (pour X.________), - Me François Gillard (pour [...] et [...]), - Me Sébastien Moret (pour [...]),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5</w:t>
      </w:r>
    </w:p>
    <w:p>
      <w:r>
        <w:t>ad art. 58 CPP ; Boog, op. cit., n. 7 ad art. 58 CPP ; CREP 19 novembre 2014/831, JdT 2015 III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