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35 vom 10. Januar 2019</w:t>
      </w:r>
    </w:p>
    <w:p>
      <w:r>
        <w:t>VD Tribunal cantonal, 2019-01-10, FR</w:t>
      </w:r>
    </w:p>
    <w:p>
      <w:r>
        <w:rPr>
          <w:b/>
        </w:rPr>
        <w:t xml:space="preserve">Quelle: </w:t>
      </w:r>
      <w:r>
        <w:t>https://mcp.opencaselaw.ch/entscheid/vd_findinfo_D_cision___2019___35</w:t>
      </w:r>
    </w:p>
    <w:p>
      <w:r>
        <w:t>FR: VD_FINDINFO Décision / 2019 / 35 du 10 janvier 2019</w:t>
      </w:r>
    </w:p>
    <w:p>
      <w:r>
        <w:t>IT: VD_FINDINFO Décision / 2019 / 35 del 10 gennaio 2019</w:t>
      </w:r>
    </w:p>
    <w:p>
      <w:pPr>
        <w:pStyle w:val="Heading2"/>
      </w:pPr>
      <w:r>
        <w:t>Regeste</w:t>
      </w:r>
    </w:p>
    <w:p>
      <w:r>
        <w:t>DÉTENTION PROVISOIRE, RISQUE DE FUITE, RISQUE DE COLLUSION, SOUPÇON, REJET DE LA DEMANDE | 212 al. 3 CPP (CH), 221 al. 1 let. a CPP (CH), 221 al. 1 let. b CPP (CH)</w:t>
      </w:r>
    </w:p>
    <w:p>
      <w:pPr>
        <w:pStyle w:val="Heading2"/>
      </w:pPr>
      <w:r>
        <w:t>Erwägungen</w:t>
      </w:r>
    </w:p>
    <w:p>
      <w:r>
        <w:rPr>
          <w:b/>
        </w:rPr>
        <w:t>E. 1</w:t>
      </w:r>
    </w:p>
    <w:p>
      <w:r>
        <w:t>Aux termes de l’art. 393 al. 1 let. c CPP (Code de procédure pénale suisse du 5 octobre 2007; RS 312.0) ,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 En l’espèce, l e recours a été interjeté en temps utile et dans les formes prescrites (cf. art. 385 al. 1 CPP) par un détenu qui a qualité pour recourir (art. 382 CPP), de sorte qu’il est recevable.</w:t>
      </w:r>
    </w:p>
    <w:p>
      <w:r>
        <w:rPr>
          <w:b/>
        </w:rPr>
        <w:t>E. 2.1</w:t>
      </w:r>
    </w:p>
    <w:p>
      <w:r>
        <w:t>Le recourant conteste les faits qui lui sont reprochés, hormis l’infraction de dommages à la propriété commise volontairement sur le véhicule de location Fiat Ducato [...] qu’il a admise. Il fait valoir qu’il n’existerait aucun soupçon concret à son encontre, qu’il aurait coopéré lors de son arrestation et que les différents objets retrouvés chez lui et en lien avec des cambriolages auraient été déposés chez lui par des amis qui avaient l’intention de revenir les chercher ultérieu­rement.</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143 lV 330 consid. 2.1; ATF 143 IV 316 consid. 3.1).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en l’état de l’enquête, des indices sérieux de culpabilité justifiant une telle mesure (ATF 137 IV 122 consid. 3.2; ATF 116 la 413 consid. 3c; TF 1B_423/2010 du 17 janvier 2011 consid. 4.1).</w:t>
      </w:r>
    </w:p>
    <w:p>
      <w:r>
        <w:rPr>
          <w:b/>
        </w:rPr>
        <w:t>E. 2.3</w:t>
      </w:r>
    </w:p>
    <w:p>
      <w:r>
        <w:t>A ce stade de l’enquête, les soupçons à l’encontre du prévenu portant sur plusieurs vols par effraction sont suffisants pour justifier sa mise en détention provisoire durant trois mois. Tout d’abord, des objets établis comme provenant de trois vols par effraction ont été retrouvés dans le studio qu’il occupe à [...], savoir une moto Husqvarna dérobée à [...], un IMac et une caméra dérobés à [...] et des jumelles dérobées à [...]. En outre, d’autres objets de provenance douteuse, et non encore déter­minée, figurent à l’inventaire de la perquisition effectuée le 25 décembre 2018 au domicile du recourant. Ensuite, une liste de matériel informatique contenu dans un sac noir, dont le recourant et G.________ ont admis qu’il puisse provenir de vols, a été retrouvé dans le studio du recourant ; Q.________ a prétendu successivement qu’il avait été contraint sous la menace d’un certain [...], puis d’un certain [...], à garder ce sac (PV aud. 2 R. 4), puis qu’il devait certaine­ment obtenir quelque chose en gardant ces objets (PV aud. arresta­tion ll. 53 ss) qu’il imaginait bien être volés (PV aud. arrestation l. 55). Toutefois, son ami G.________, qui a d’abord déclaré que le recourant avait été menacé par des individus munis de pistolets, s’est rétracté en admettant avoir servi cette version des faits à la demande du recourant, celle-ci ayant été mise au point durant le laps de temps pendant lequel la police avait essayé d’entrer dans le studio (PV aud. 3 R. 11 p. 4 ; PV aud. 6 l. 48) ; en outre, le même G.________ a établi la liste des objets contenus dans ce sac, a admis qu’il savait qu’ils étaient volés et a précisé que c’était à la demande du recourant que cette liste avait été établie, dans le but de déterminer qui pourrait être intéressé à les obtenir (PV aud. 3 R. 15 ; PV aud. 4 R. 7 ; PV aud. 6 ll. 89 ss). Le recourant lui aurait proposé un MacBook Air figurant sur cette liste (PV aud. 4 R. 7 ; PV aud. 3 R. 15). Et, de fait, au regard de l’inventaire des neuf objets en cause, figurent certains noms et des prix (pièce annexée au PV aud. 3). Il y a dès lors de fortes probabilités que ce matériel informatique soit le résultat de vols commis par le recourant, ou que celui-ci ait l’intention de commettre un recel. Au reste, G.________ a admis être allé avec le recourant à proximité d’un chalet dans l’intention de voler une moto, le recourant ayant eu un renseignement à cet égard (PV aud. 4 R. 13 ; PV aud. 6 ll. 50-60), tout en relevant que le vol n’avait pas été commis puisqu’il n’y avait pas de véhicule (ibid.). Par ailleurs, le recourant a pu être appréhendé car un des ordina­teurs volés a été géo-localisé à l’adresse de son studio. Ainsi, même s’il n’est pas impossible que d’autres personnes soient impliquées dans les vols par effraction en cause, en particulier les individus indiqués par le recourant, il existe de forts soupçons de culpabilité à l’encontre de celui-ci, malgré ses dénégations. Au surplus, le recourant a des antécédents de vols de véhicules et ne dispose pas en Suisse de revenus légaux. Partant, la condition préalable à la détention provisoire est remplie et le moyen du recourant doit être rejeté.</w:t>
      </w:r>
    </w:p>
    <w:p>
      <w:r>
        <w:rPr>
          <w:b/>
        </w:rPr>
        <w:t>E. 3.1</w:t>
      </w:r>
    </w:p>
    <w:p>
      <w:r>
        <w:t>Le recourant ne conteste pas formellement l’existence d’un risque de fuite retenu par le Tribunal des mesures de contrainte. Il expose d’ailleurs qu’il n’a pas l’intention de rester en Suisse, pays où il aurait des liens étroits et où il vivrait avec sa mère et son père, et que même s’il a l’intention de retourner vivre au Portugal, il serait prêt à s’engager à revenir en Suisse pour l’audience de jugement, cas échéant à déposer son passeport et son permis de séjour.</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jurispr. Cit.). Les circonstances particulières de chaque cas d'espèce doivent être prises en compte (TF 1B_393/2015 du 9 décembre 2015 consid. 2.2 et réf. cit.).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3.3</w:t>
      </w:r>
    </w:p>
    <w:p>
      <w:r>
        <w:t>En l’occurrence, Q.________ est un ressortissant portu­gais au bénéfice d’un permis C. Quand bien même ses parents vivraient en Suisse, il a la ferme intention de retourner vivre au Portugal où il dit avoir un travail de cuisinier. Dans ces circonstances, il est fortement à craindre qu’en cas de libération, le recourant se soustraie aux poursuites pénales engagées contre lui en fuyant le pays. Par conséquent, le risque de fuite est manifeste. Les mesures de substitution proposées ne sont quant à elles pas de nature à y remédier et ne permet­tront pas non plus d’assurer que le recourant reste à la disposition de la justice pénale pendant l’instruction.</w:t>
      </w:r>
    </w:p>
    <w:p>
      <w:r>
        <w:rPr>
          <w:b/>
        </w:rPr>
        <w:t>E. 4.1</w:t>
      </w:r>
    </w:p>
    <w:p>
      <w:r>
        <w:t>Le recourant conteste également le risque de collusion retenu par le Tribunal des mesures de contrainte. Il fait valoir que son domicile a déjà été perqui­sitionné et que G.________, arrêté en même temps que lui, a été libéré à la suite de son audition sur simple déclaration de quitter immédiatement le territoire suisse.</w:t>
      </w:r>
    </w:p>
    <w:p>
      <w:r>
        <w:rPr>
          <w:b/>
        </w:rPr>
        <w:t>E. 4.2</w:t>
      </w:r>
    </w:p>
    <w:p>
      <w:r>
        <w:t>Pour retenir l'existence d'un risque de collusion au sens de l’art. 221 al. 1 let. b CPP, l'autorité doit démontrer que les circonstances particulières du cas d'espèce font apparaître un danger concret et sérieux de telles manœuvre,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132 I 21 consid. 3.2; TF 1B_488/2018 du 5 novembre 2018 consid. 2.1. Plus l'instruction se trouve à un stade avancé et les faits sont établis avec précision, plus les exigences relatives à la preuve de l'existence d'un risque de collusion sont élevées (ATF 137 IV 122 consid. 4.2; ATF 132 I 21 consid. 3.2.2). En tout état de cause, lorsqu'un prévenu est placé en détention, la procédure doit être conduite en priorité (art. 5 al. 2 CPP).</w:t>
      </w:r>
    </w:p>
    <w:p>
      <w:r>
        <w:rPr>
          <w:b/>
        </w:rPr>
        <w:t>E. 4.3</w:t>
      </w:r>
    </w:p>
    <w:p>
      <w:r>
        <w:t>En l’espèce, le risque de collusion est concret. L’enquête vient juste de débuter et des mesures d’instruction sont en cours afin d’établir l’activité délictueuse du recourant. On ne saurait déduire des faits que son domicile a déjà été perquisitionné, que le prévenu G.________ a été libéré et que le risque de collusion est inexistant. En effet, des actes d’enquête doivent être réalisés, impli­quant notamment les personnes indiquées par le recourant, non seulement en rela­tion avec les vols par effraction mais aussi avec l’épisode de [...], de sorte qu’il convient de s’assurer que le recourant n’entre pas en contact avec ces personnes ou fasse disparaître des preuves.</w:t>
      </w:r>
    </w:p>
    <w:p>
      <w:r>
        <w:rPr>
          <w:b/>
        </w:rPr>
        <w:t>E. 5.1</w:t>
      </w:r>
    </w:p>
    <w:p>
      <w:r>
        <w:t>Le recourant invoque la violation du principe de la proportionnalité. Il soutient que sa détention provisoire ne devrait pas dépasser un mois et sollicite l’institution de mesures de substitution prêtes à garantir sa présence sur le territoire suisse et son absence de récidive, notamment sous la forme d’une obligation de se présenter régulièrement à un service administratif et de la saisie de ses documents d’identité. Il fait valoir qu’il a « passablement » collaboré avec la police en donnant des noms et qu’une détention provisoire d’une durée d’un mois serait suffisante pour procéder aux contrôles nécessaires.</w:t>
      </w:r>
    </w:p>
    <w:p>
      <w:r>
        <w:rPr>
          <w:b/>
        </w:rPr>
        <w:t>E. 5.2</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La liste des mesures de substitution énoncée à l'art. 237 CPP n'est pas exhaustive. En vertu du principe de la proportionnalité, l'autorité est tenue de substituer à la détention provisoire toute mesure moins incisive qui permettrait d'atteindre le même but (TF 1B_654/2011 du</w:t>
      </w:r>
    </w:p>
    <w:p>
      <w:r>
        <w:rPr>
          <w:b/>
        </w:rPr>
        <w:t>E. 5.3</w:t>
      </w:r>
    </w:p>
    <w:p>
      <w:r>
        <w:t>Force est de constater, à ce stade, que les mesures de substitution évoquées par le recourant ne sont pas propres à prévenir efficacement les risques de fuite et de collusion et qu’aucune autre mesure de substitution n’est susceptible de les prévenir valablement. Cela étant, l’enquête n’en est qu’à ses débuts. Au vu des faits reprochés, le délai de trois mois est proportionné avec la peine privative de liberté concrètement encourue pour vol, ainsi qu’avec les actes d’enquête encore à mener, notamment pour déterminer si le recourant fait partie d’une bande. Par conséquent, le principe de la proportionnalité est respecté. 6. En définitive, le recours, manifestement mal fondé, doit être rejeté sans échange d’écritures (art. 390 al. 2 CPP) et l’ordonnance entreprise confirmée. Les frais de la procédure de recours, constitués en l’espèce de l’émolument d'arrêt, par 1’320 fr. (art. 20 al. 1 TFIP [Tarif des frais judiciaires de procédure et indemnités en matière pénale du 28 septembre 2010; BLV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28 décembre 2018 est confirmée. III. L’indemnité allouée au défenseur d’office de Q.________ est fixée à 387 fr. 70 (trois cent huitante-sept francs et septante centimes). IV. Les frais d’arrêt, par 1’320 fr. (mille trois cent vingt francs), ainsi que l’indemnité due au défenseur d’office de Q.________, par 387 fr. 70 (trois cent huitante-sept francs et septante centimes), sont mis à la charge de ce dernier. V. Le remboursement à l'Etat de l'indemnité allouée au chiffre III ci-dessus ne sera exigible que pour autant que la situation économique de Q.________ le permette. VI. L’arrêt est exécutoire. Le président :               La greffière : Du Le présent arrêt, dont la rédaction a été approuvée à huis clos, est notifié, par l'envoi d'une copie complète, à : - Me Franck-Olivier Karlen, avocat (pour Q.________), - Ministère public central, et communiqué à : ‑ Mme la Présidente du Tribunal des mesures de contrainte, - Mme la Procureure de l’arrondissement de Lausanne, - Service de la population, secteur étrangers (Q.________, né le [...].2000),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7</w:t>
      </w:r>
    </w:p>
    <w:p>
      <w:r>
        <w:t>décembre 2011). Elle peut, à cet effet, assortir cette mesure de toute condition propre à en garantir l'efficacité (TF 1B_165/2012 du 12 avril 2012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