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349 vom 26. April 2019</w:t>
      </w:r>
    </w:p>
    <w:p>
      <w:r>
        <w:t>VD Tribunal cantonal, 2019-04-26, FR</w:t>
      </w:r>
    </w:p>
    <w:p>
      <w:r>
        <w:rPr>
          <w:b/>
        </w:rPr>
        <w:t xml:space="preserve">Quelle: </w:t>
      </w:r>
      <w:r>
        <w:t>https://mcp.opencaselaw.ch/entscheid/vd_findinfo_D_cision___2019___349</w:t>
      </w:r>
    </w:p>
    <w:p>
      <w:r>
        <w:t>FR: VD_FINDINFO Décision / 2019 / 349 du 26 avril 2019</w:t>
      </w:r>
    </w:p>
    <w:p>
      <w:r>
        <w:t>IT: VD_FINDINFO Décision / 2019 / 349 del 26 aprile 2019</w:t>
      </w:r>
    </w:p>
    <w:p>
      <w:pPr>
        <w:pStyle w:val="Heading2"/>
      </w:pPr>
      <w:r>
        <w:t>Regeste</w:t>
      </w:r>
    </w:p>
    <w:p>
      <w:r>
        <w:t>PROLONGATION, DÉTENTION PROVISOIRE | 221 CPP (CH)</w:t>
      </w:r>
    </w:p>
    <w:p>
      <w:pPr>
        <w:pStyle w:val="Heading2"/>
      </w:pPr>
      <w:r>
        <w:t>Erwägungen</w:t>
      </w:r>
    </w:p>
    <w:p>
      <w:r>
        <w:rPr>
          <w:b/>
        </w:rPr>
        <w:t>E. 3</w:t>
      </w:r>
    </w:p>
    <w:p>
      <w:r>
        <w:t>octobre 2018, qu’il a confirmée. Par ordonnance du 7 janvier 2019, le TMC a ordonné la prolongation de la détention provisoire de A.________ pour une durée de trois mois, soit au plus tard jusqu'au 4 avril 2019. i) Par requête du 29 mars 2019, le Ministère public a sollicité la prolongation de la détention provisoire de A.________ pour une durée supplémentaire de deux mois. Par ordonnance du 3 avril 2019, le TMC a prolongé temporairement la détention provisoire de A.________ jusqu'à droit connu sur la requête précitée. Par déterminations du 4 avril 2019, la défense de A.________ s'est opposée à la demande de prolongation de la détention provisoire présentée par le Ministère public, contestant notamment l'existence de soupçons suffisants ainsi que tous risques de fuite et de réitération. Dans l'hypothèse où le Tribunal des mesures de contrainte devait « par impossible » considérer que les risques de fuite et de réitération devaient être retenus, la défense a sollicité le prononcé de mesures de substitution à forme du dépôt des papiers d'identité de son client, de l'obligation de se présenter à un poste de gendarmerie à raison de deux fois par semaine, d'une interdiction de contact avec les autres protagonistes de cette affaire et d'une assignation à résidence assortie cas échéant du contrôle de cette mesure par bracelet électronique mais permettant à son mandant de disposer de la liberté de mouvements minimale afin de pouvoir suivra sa formation, sollicitant pour le surplus la tenue d'une audience, ainsi que l'audition en qualité de témoin de [...], lequel détiendrait « des informations qui [seraient] de nature à disculper [son] mandant ». j) Par ordonnance du 9 avril 2019, le TMC a ordonné la prolongation de la détention provisoire de A.________ (I), a fixé la durée maximale de la prolongation à deux mois, soit au plus tard jusqu'au 4 juin 2019 (II), et a dit que les frais de l'ordonnance, par 300 fr., suivaient le sort de la cause (III). Dans son ordonnance, le TMC a relevé tout d’abord que le renvoi aux considérants de précédentes décisions, connues des parties, sur des points qui demeuraient d'actualité, était admissible au regard des exigences du droit d'être entendu (CREP 23 octobre 2012/634 confirmé in: TF 1B 708/2012 du 13 décembre 2012; CREP 18 octobre 2012/623; CREP 17 octobre 2012/621 et les références citées). Ensuite, l’autorité a constaté que la demande de prolongation de la détention provisoire de A.________ intervenait au stade de la mise en prochaine clôture du dossier. Enfin, il a souligné que le renvoi que le Ministère public opérait à ses précédentes demandes ainsi qu'aux décisions antérieures du TMC et de la CREP ne violait pas le droit d'être entendu du prévenu, en l’absence d’éléments nouveaux. S'agissant des soupçons sérieux pesant sur le prévenu, le TMC s’est référé intégralement à ses précédentes ordonnances, ainsi qu'à l'arrêt de la CREP du 18 octobre 2018/823, qui gardaient toute leur pertinence. A cet égard, il a rappelé que A.________ était soupçonné d'avoir pris part à plusieurs brigandages qualifiés – en bande –, infractions dont la gravité n'était pas à démontrer. C. Par acte du 23 avril 2019, A.________ a recouru contre l'ordonnance du 9 avril 2019, en concluant principalement à sa libération immédiate, les frais étant laissés à la charge de l’Etat, subsidiairement à ce que des mesures de substitution, telles que l’assignation à résidence ou l’interdiction de se rendre dans certains lieux, ainsi que l’interdiction d’entretenir des relations avec toutes les personnes entendues dans la présente affaire, soient ordonnées en lieu et place de la détention provisoire. Il n'a pas été ordonné d'échange d'écritures. En droit : 1. Interjeté dans le délai légal (art. 396 al. 1 CPP [Code de procédure pénale suisse du 5 octobre 2007; RS 312.0]) contre une décision du TMC dans un cas prévu par le CPP (art. 393 al. 1 let. c CPP),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TMC, le Ministère public peut demander la prolongation de la détention (art. 227 al. 1 CPP).</w:t>
      </w:r>
    </w:p>
    <w:p>
      <w:r>
        <w:rPr>
          <w:b/>
        </w:rPr>
        <w:t>E. 3.1</w:t>
      </w:r>
    </w:p>
    <w:p>
      <w:r>
        <w:t>Le recourant sollicite des mesures d’instruction, soit que la CREP procède à l’audition en qualité de témoin de [...], lequel détiendrait des informations qui seraient de nature à le disculper des faits qui lui sont reprochés et à démontrer qu’il aurait fait l’objet d’une dénonciation calomnieuse de la part de B.________.</w:t>
      </w:r>
    </w:p>
    <w:p>
      <w:r>
        <w:rPr>
          <w:b/>
        </w:rPr>
        <w:t>E. 3.2</w:t>
      </w:r>
    </w:p>
    <w:p>
      <w:r>
        <w:t>Conformément à l’art. 225 al.</w:t>
      </w:r>
    </w:p>
    <w:p>
      <w:r>
        <w:rPr>
          <w:b/>
        </w:rPr>
        <w:t>E. 3.3</w:t>
      </w:r>
    </w:p>
    <w:p>
      <w:r>
        <w:t>En l’espèce, il ne se justifie dès lors pas de donner suite à la réquisition tendant à l'audition en qualité de témoin de [...] – à laquelle le TMC a lui-même refusé à bon droit de donner suite –, qui ne constitue pas une preuve immédiatement disponible, avant de statuer.</w:t>
      </w:r>
    </w:p>
    <w:p>
      <w:r>
        <w:rPr>
          <w:b/>
        </w:rPr>
        <w:t>E. 4</w:t>
      </w:r>
    </w:p>
    <w:p>
      <w:r>
        <w:t>CPP, le juge des mesures de contrainte – et par conséquent l’autorité de recours après lui – se prononcent sur la détention en se fondant sur les preuves immédiatement disponibles. Cette limitation se justifie par le délai extrêmement court de quarante-huit heures dans lequel doit statuer le tribunal des mesures de contrainte, auquel il n’appartient pas de mener des actes d'instruction en lieu et place du ministère public, mais uniquement de contrôler la légalité de la mesure de contrainte et donc de n'administrer que les preuves nécessaires pour atteindre ce but (Moreillon/Parein-Reymond, Petit commentaire, Code de procédure pénale, 2 e éd., Bâle 2016, nn. 19-20 ad art. 225 CP).</w:t>
      </w:r>
    </w:p>
    <w:p>
      <w:r>
        <w:rPr>
          <w:b/>
        </w:rPr>
        <w:t>E. 4.1</w:t>
      </w:r>
    </w:p>
    <w:p>
      <w:r>
        <w:t>Le recourant conteste toute implication dans les brigandages objets de l'enquête.</w:t>
      </w:r>
    </w:p>
    <w:p>
      <w:r>
        <w:rPr>
          <w:b/>
        </w:rPr>
        <w:t>E. 4.2</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A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4.3.1</w:t>
      </w:r>
    </w:p>
    <w:p>
      <w:r>
        <w:t>Le recourant soutient à nouveau que la crédibilité de B.________ se serait progressivement étiolée. Il estime que seul ce dernier le mettrait en cause alors que X.________ ne le ferait pas, et que C.________ et D.________ réfuteraient la version de B.________. Le recourant persiste ainsi à soutenir qu’il n'existerait pas d'indices sérieux de culpabilité justifiant le maintien de la détention provisoire. Le recourant ne saurait être suivi. En premier lieu, on rappellera qu'il a été interpellé, le 4 juin 2018 à 00h30, en compagnie de B.________ alors qu'ils se trouvaient non loin de l'endroit où était dissimulé le butin présumé du brigandage commis à [...], le 3 juin 2018. Il apparaît ainsi très vraisemblable que les deux comparses étaient venus s'emparer dudit butin (PV aud. X.________ du 15 juin 2018, l. 110-125; PV aud. B.________ du 13 septembre 2018, l. 126-130, 219-231). Ensuite, le recourant est formellement mis en cause par B.________. En particulier, ce dernier a déclaré qu'il savait que D.________ allait faire les brigandages avec C.________ et que A.________ touchait parfois une partie des butins (PV aud. B.________ du 29 juin 2018, l. 112-114; PV aud. B.________ du 13 septembre 2018, l. 77-87 et l. 123-164). Le recourant est également mis en cause par B.________ pour avoir eu une conversation téléphonique avec D.________, conversation durant laquelle les prévenus auraient organisé l'obtention d'un véhicule pour commettre un brigandage. Selon B.________, le recourant aurait dû toucher 1'100 fr. du butin obtenu lors du brigandage commis le 3 juin 2018 à [...] (PV aud. B.________ du 29 juin 2018, l. 115-124). Contrairement à ce que soutient le recourant, on ne discerne, dans les déclarations d’C.________ du 16 juillet 2018 (PV aud. de l’intéressé, p. 5), aucun élément réfutant sur ce point la version de B.________, C.________ exposant ignorer pourquoi B.________ a déclaré que le butin devait être partagé avec A.________, notamment. On ne discerne pas davantage, dans les déclarations de D.________ du 13 septembre 2018 (PV aud. de l’intéressé, pp. 2-3), d’élément réfutant la version de B.________, D.________ exposant certes que A.________ serait étranger aux braquages mais aussi qu’une part du butin lui a été remise, sans pouvoir en expliquer les raisons.</w:t>
      </w:r>
    </w:p>
    <w:p>
      <w:r>
        <w:rPr>
          <w:b/>
        </w:rPr>
        <w:t>E. 4.3.2</w:t>
      </w:r>
    </w:p>
    <w:p>
      <w:r>
        <w:t>Le recourant soutient à nouveau que C.________ aurait déclaré de manière constante qu’il n’était pas impliqué dans les faits incriminés. N’en déplaise au recourant, celui-ci est également formellement mis en cause par C.________ pour avoir été présent lors du partage du butin provenant du brigandage commis à [...] le 12 mai 2018, et pour avoir perçu un tiers du montant total. Certes, à cet égard, C.________ a précisé qu'il ne savait pas que A.________ devait toucher une partie du butin et que cette répartition devait émaner d'un arrangement entre le recourant et D.________ (PV aud. C.________ du 16 juillet 2018, pp. 8-9, R. 18; PV aud. C.________ du 13 septembre 2018, l. 77-87). Si les propos d'C.________ peuvent, comme le soutient le recourant, être interprétés d'une manière différente que celle de l'autorité de poursuite pénale, il faut relever que les soupçons sont aussi fondés sur la présence même du recourant lors du partage du butin provenant du brigandage commis à [...] le 12 mai 2018.</w:t>
      </w:r>
    </w:p>
    <w:p>
      <w:r>
        <w:rPr>
          <w:b/>
        </w:rPr>
        <w:t>E. 4.3.3</w:t>
      </w:r>
    </w:p>
    <w:p>
      <w:r>
        <w:t>Le recourant soutient que D.________ aurait déclaré de manière constante qu’il n’était pas impliqué dans les faits incriminés et que les relevés de téléphone ne permettraient pas davantage d’établir son implication. Là encore, le recourant ne fait état d’aucun élément nouveau par rapport à la situation existant au moment où la CREP a rendu son arrêt du 18 octobre 2018/823. On rappellera que la surveillance active du raccordement de D.________ a permis de révéler que celui-ci indiquait clairement, à deux reprises, à son interlocuteur que A.________ avait participé au brigandage commis le 14 octobre 2017 à [...], rue [...] (cf. P. 55, pp. 2-3). Entendu sur ces faits le 9 août 2018, D.________ a affirmé qu'il s'était trompé. Il a toutefois admis sa propre implication (PV aud. de l’intéressé du 9 août 2018, R. 16; PV aud. de l’intéressé du 13 septembre 2018, l. 128-138). Il n’y a pas lieu d’apprécier différemment la situation aujourd’hui.</w:t>
      </w:r>
    </w:p>
    <w:p>
      <w:r>
        <w:rPr>
          <w:b/>
        </w:rPr>
        <w:t>E. 4.3.4</w:t>
      </w:r>
    </w:p>
    <w:p>
      <w:r>
        <w:t>Au vu de l'ensemble des éléments susmentionnés, l’appréciation du TMC selon laquelle il existe des indices sérieux de culpabilité justifiant la détention provisoire du recourant ne prête pas le flanc à la critique. Infondé, le moyen doit donc être rejeté.</w:t>
      </w:r>
    </w:p>
    <w:p>
      <w:r>
        <w:rPr>
          <w:b/>
        </w:rPr>
        <w:t>E. 5.1</w:t>
      </w:r>
    </w:p>
    <w:p>
      <w:r>
        <w:t>Le recourant conteste encore l'existence d'un risque de réitération.</w:t>
      </w:r>
    </w:p>
    <w:p>
      <w:r>
        <w:rPr>
          <w:b/>
        </w:rPr>
        <w:t>E. 5.2</w:t>
      </w:r>
    </w:p>
    <w:p>
      <w:r>
        <w:t>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ATF 137 IV 122 consid. 5, JdT 2012 IV 79). Plus l'infraction redoutée est grave, plus la mise en détention se justifie lorsque les éléments disponibles ne permettent pas une évaluation précise de ce risque (ATF 140 IV 19 consid. 2.1.1; TF 6B_446/2015 du 19 janvier 2016 consid. 2.1; CREP 17 novembre 2015/743).</w:t>
      </w:r>
    </w:p>
    <w:p>
      <w:r>
        <w:rPr>
          <w:b/>
        </w:rPr>
        <w:t>E. 5.3</w:t>
      </w:r>
    </w:p>
    <w:p>
      <w:r>
        <w:t>En l'espèce, en l’absence d’élément nouveau, le risque de réitération doit être retenu pour les motifs exposés par la CREP au consid. 5.3 de son arrêt du 18 octobre 2018/823. Le casier judiciaire du recourant fait état d'une condamnation pour lésions corporelles simples, vol et agression notamment. L'intéressé a également été condamné à deux reprises pour violence ou menace contre les autorités et les fonctionnaires. Entre le 27 janvier 2016 et le 20 août 2017, le recourant a commis des infractions contre l'intégrité physique ainsi que contre le patrimoine. Il a en outre fait l'objet d'un acte d'accusation rendu le 6 juin 2018 pour vol, dommages à la propriété, extorsion et chantage, subsidiairement contrainte, recel, violation de domicile, violence ou menace contre les autorités et les fonctionnaires, vol d'usage, conduite d'un véhicule automobile sans autorisation et infraction à la Loi fédérale sur les stupéfiants (P. 13). Enfin, dans le cadre de la procédure précitée, le recourant est sorti de détention provisoire le 26 avril 2018 et le brigandage commis à [...], auquel l'intéressé est nouvellement suspecté d'avoir participé, a eu lieu le 12 mai 2018. Le risque de réitération est ainsi manifeste. Dans ces circonstances, la prolongation de la détention provisoire du recourant demeure justifiée.</w:t>
      </w:r>
    </w:p>
    <w:p>
      <w:r>
        <w:rPr>
          <w:b/>
        </w:rPr>
        <w:t>E. 6.1</w:t>
      </w:r>
    </w:p>
    <w:p>
      <w:r>
        <w:t>Le recourant conteste l’existence d’un risque de fuite.</w:t>
      </w:r>
    </w:p>
    <w:p>
      <w:r>
        <w:rPr>
          <w:b/>
        </w:rPr>
        <w:t>E. 6.2</w:t>
      </w:r>
    </w:p>
    <w:p>
      <w:r>
        <w:t>Les conditions posées par l'art. 221 CPP étant alternatives (TF 1B_242/2016 du 21 juillet 2016 consid. 5), l’existence d'un risque de réitération dispense l'autorité de céans d'examiner si le prévenu présente également un risque de fuite.</w:t>
      </w:r>
    </w:p>
    <w:p>
      <w:r>
        <w:rPr>
          <w:b/>
        </w:rPr>
        <w:t>E. 7.1</w:t>
      </w:r>
    </w:p>
    <w:p>
      <w:r>
        <w:t>Le recourant soutient que des mesures de substitution suffiraient à prévenir le risque de réitération redouté. Il fait en outre valoir que son maintien en détention lui serait fort préjudiciable en l’empêchant de pouvoir effectuer ses examens de fin d’apprentissage. Il soutient à cet égard que ses perspectives de formation devraient lui permettre de se réinsérer dans la vie active en le tenant à l’écart de la commission de nouvelles infractions.</w:t>
      </w:r>
    </w:p>
    <w:p>
      <w:r>
        <w:rPr>
          <w:b/>
        </w:rPr>
        <w:t>E. 7.2</w:t>
      </w:r>
    </w:p>
    <w:p>
      <w:r>
        <w:t>Conformément au principe de la proportionnalité (art. 36 al. 3 Cst. [Constitution fédérale de la Confédération suisse du 18 avril 1999; RS 101]; pour la procédure pénale, cf. art. 197 al. 1 let. c CPP), il convient d'examiner les possibilités de mettre en œuvre d'autres solutions moins dommageables que la détention,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7.3</w:t>
      </w:r>
    </w:p>
    <w:p>
      <w:r>
        <w:t>Dans le cas d’espèce, aucune des mesures de substitution proposées n’apparaît propre, en l’état, à contenir le risque de réitération. En effet, A.________ est notamment soupçonné d'avoir apporté une aide organisationnelle et logistique à ses comparses dans le cadre de plusieurs brigandages. Une assignation à résidence, telle que proposée par la défense, ne l'empêcherait par conséquent pas de continuer dans ses agissement délictueux, pas plus qu'une interdiction de prendre contact avec les protagonistes de cette affaire, à plus forte raison qu'une telle mesure de substitution ne reposerait que sur le seul engagement du prévenu. Enfin, il ressort du dossier que le recourant a repoussé, lorsque sa précédente incarcération a pris fin, la date de passage de son examen de CFC, avant d’être arrêté et nouvellement placé en détention (PV aud. A.________ du 28 août 2018, R. 21). Les perspectives de formation mises en avant par le recourant ne l’ont ainsi manifestement pas dissuadé de commettre de nouvelles infractions à peine sorti de prison.</w:t>
      </w:r>
    </w:p>
    <w:p>
      <w:r>
        <w:rPr>
          <w:b/>
        </w:rPr>
        <w:t>E. 8.1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148 consid. 5.1; ATF 133 I 168 consid. 4.1; ATF 132 I 21 consid. 4.1).</w:t>
      </w:r>
    </w:p>
    <w:p>
      <w:r>
        <w:rPr>
          <w:b/>
        </w:rPr>
        <w:t>E. 8.2</w:t>
      </w:r>
    </w:p>
    <w:p>
      <w:r>
        <w:t>En l’espèce, au vu des opérations d'enquête qui restent à effectuer, soit l'examen des réquisitions présentées par les parties dans le délai de prochaine clôture et leur éventuelle mise en œuvre avant le renvoi des prévenus en jugement, la prolongation de la détention provisoire du prévenu pour une durée de deux mois, comme requis par la Procureure, ne prête pas le flanc à la critique et n’est d’ailleurs pas contestée sous l’angle du principe de la proportionnalité. En effet, la durée de la détention subie, même au terme de la prolongation ainsi ordonnée, reste proportionnée au vu des antécédents du prévenu, des charges pesant sur lui et de la peine susceptible d'être prononcée en cas de condamnation, étant rappelé que l'infraction de brigandage en bande (art. 140 ch. 3 CP) est passible d'une peine privative de liberté minimale de deux ans.</w:t>
      </w:r>
    </w:p>
    <w:p>
      <w:r>
        <w:rPr>
          <w:b/>
        </w:rPr>
        <w:t>E. 9</w:t>
      </w:r>
    </w:p>
    <w:p>
      <w:r>
        <w:t>En définitive, le recours, manifestement mal fondé, doit être rejeté sans autre échange d’écritures (art. 390 al. 2 CPP) et l’ordonnance attaquée confirmée. Les frais de la procédure de recours, constitués en l’espèce de l’émolument d’arrêt, par 1’870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9 avril 2019 est confirmée. III. Les frais d’arrêt, par 1’870 fr. (mille huit-cent septante francs) sont mis à la charge du recourant. IV. L’arrêt est exécutoire. Le président :               Le greffier : Du Le présent arrêt, dont la rédaction a été approuvée à huis clos, est notifié, par l'envoi d'une copie complète, à: - Me Ludovic Tirelli, avocat (pour A.________), - Ministère public central, et communiqué à: - Mme la Présidente du Tribunal des mesures de contrainte, - Mme la Procureure de l’arrondissement du Nord vaudois,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