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348 vom 25. April 2019</w:t>
      </w:r>
    </w:p>
    <w:p>
      <w:r>
        <w:t>VD Tribunal cantonal, 2019-04-25, FR</w:t>
      </w:r>
    </w:p>
    <w:p>
      <w:r>
        <w:rPr>
          <w:b/>
        </w:rPr>
        <w:t xml:space="preserve">Quelle: </w:t>
      </w:r>
      <w:r>
        <w:t>https://mcp.opencaselaw.ch/entscheid/vd_findinfo_D_cision___2019___348</w:t>
      </w:r>
    </w:p>
    <w:p>
      <w:r>
        <w:t>FR: VD_FINDINFO Décision / 2019 / 348 du 25 avril 2019</w:t>
      </w:r>
    </w:p>
    <w:p>
      <w:r>
        <w:t>IT: VD_FINDINFO Décision / 2019 / 348 del 25 aprile 2019</w:t>
      </w:r>
    </w:p>
    <w:p>
      <w:pPr>
        <w:pStyle w:val="Heading2"/>
      </w:pPr>
      <w:r>
        <w:t>Regeste</w:t>
      </w:r>
    </w:p>
    <w:p>
      <w:r>
        <w:t>DROIT D'ÊTRE ENTENDU, OBSERVATION, SURVEILLANCE{EN GÉNÉRAL}, REJET DE LA DEMANDE, COMMUNICATION | 269 CPP (CH), 279 al. 1 CPP (CH)</w:t>
      </w:r>
    </w:p>
    <w:p>
      <w:pPr>
        <w:pStyle w:val="Heading2"/>
      </w:pPr>
      <w:r>
        <w:t>Erwägungen</w:t>
      </w:r>
    </w:p>
    <w:p>
      <w:r>
        <w:rPr>
          <w:b/>
        </w:rPr>
        <w:t>E. 1.1</w:t>
      </w:r>
    </w:p>
    <w:p>
      <w:r>
        <w:t>Aux termes de l’art. 393 al. 1 let. a CPP, le recours est recevable contre les décisions et actes de procédure du ministère public. Conformément à l’art. 279 al. 3 CPP, applicable par renvoi de l’art. 281 al. 4 CPP, les personnes qui ont fait l’objet d’une surveillance peuvent interjeter recours conformément aux art. 393 à 397 CPP (CREP 4 mars 2016/161). Le recours des art. 393 à 397 CPP est également ouvert contre une communication au sens de l’art. 283 CPP relative à une observation au sens de l’art. 282 CPP (Moreillon/Parein-Reymond, Petit Commentaire du Code de procédure pénale, 2 e éd., Bâle 2016, n. 6 ad art. 283 CPP ; Guéniat/Hainard, in: Kuhn/Jeanneret [éd.], Commentaire romand, Code de procédure pénale suisse, Bâle 2011, n. 5 ad art. 283 CPP ; Schmid/Jositch, Schweizerische Strafprozessordnung, Praxiskommentar, 3 e éd., 2018, n. 6 ad art. 283 CPP). Le délai pour déposer recours commence à courir dès la réception de la communication. Ces recours s’exercent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les recours ont été interjetés dans le délai légal auprès de l’autorité compétente par le prévenu, qui a qualité pour recourir (art. 382 al. 1 CPP), et dans les formes prescrites (art. 385 al. 1 CPP), de sorte qu’ils sont recevables.</w:t>
      </w:r>
    </w:p>
    <w:p>
      <w:r>
        <w:rPr>
          <w:b/>
        </w:rPr>
        <w:t>E. 2</w:t>
      </w:r>
    </w:p>
    <w:p>
      <w:r>
        <w:t>e éd., Bâle 2014, n. 9 ad art. 283 CPP). La communication a pour but de s’assurer que l’atteinte à la sphère privée puisse faire l’objet, au moins a posteriori , d’un contrôle judiciaire garantissant le droit d’être entendu (TF 6B_582/2013 du 20 février 2014 consid. 2.3 ; Moreillon/Parein-Reymond, op. cit., n. 2a ad art. 283 CPP).</w:t>
      </w:r>
    </w:p>
    <w:p>
      <w:r>
        <w:rPr>
          <w:b/>
        </w:rPr>
        <w:t>E. 2.1</w:t>
      </w:r>
    </w:p>
    <w:p>
      <w:r>
        <w:t>Invoquant une violation de son droit d’être entendu, le recourant soutient que le dossier d’observation de la Police de sûreté (P. 86), annexé à la décision du Ministère public du 9 avril 2019, ne serait pas complet, de sorte qu’il ne serait pas en mesure de se déterminer sur les éléments retenus à sa charge. Il fait en particulier valoir que ce rapport n’indiquerait pas quels éléments probants/déterminants observés auraient permis à l’autorité pénale de renforcer les soupçons à son encontre, notamment la description de son comportement et le lieu, à tout le moins la ville et la rue, de l’observation.</w:t>
      </w:r>
    </w:p>
    <w:p>
      <w:r>
        <w:rPr>
          <w:b/>
        </w:rPr>
        <w:t>E. 2.2.1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w:t>
      </w:r>
    </w:p>
    <w:p>
      <w:r>
        <w:rPr>
          <w:b/>
        </w:rPr>
        <w:t>E. 2.2.2</w:t>
      </w:r>
    </w:p>
    <w:p>
      <w:r>
        <w:t>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 Aux termes de l’art. 283 al. 1 CPP, au plus tard lors de la clôture de la procédure préliminaire, le ministère public communique à la personne qui a été observée les motifs, le mode et la durée de l’observation. La loi ne précise pas les éléments qui doivent être versés au dossier. Selon la doctrine, seuls les éléments probants et déterminants pour la procédure doivent être compilés dans le rapport officiel (Guéniat/Hainard, op. cit., n. 6 ad art. 283 CPP). En particulier, selon Eugster et Katzenstein, « die Mitteilung umfasst nicht bloss die Tatsache der Observation, sondern auch deren Grund, die Art und die Dauer » (Eugster/Katzenstein, in : Niggli/Heer/Wiprächtiger [éd.], Basler Kommentar, Schweizerische Strafprozessordnung,</w:t>
      </w:r>
    </w:p>
    <w:p>
      <w:r>
        <w:rPr>
          <w:b/>
        </w:rPr>
        <w:t>E. 2.3</w:t>
      </w:r>
    </w:p>
    <w:p>
      <w:r>
        <w:t>En l’espèce, la décision du Ministère public du 9 avril 2019 indique que l’observation policière du recourant s’est déroulée entre le 17 et le 28 mars 2018 et qu’une observation a été ordonnée par le Ministère public le 29 mai 2018 dans le cadre de la procédure pénale ouverte contre le recourant pour infraction à la LStup, sur la base des graves soupçons découlant notamment des déclarations de W.________, L.________ et Q.________. Elle précise que celle-ci a été mise en œuvre durant 4 jours entre le 4 juin et le 2 juillet 2018 et a été effectuée par la brigade d’observation de la police cantonale, se limitant aux endroits librement accessibles. Le rapport d’observation de la Police de sûreté du 28 mars 2019 (P. 86), auquel renvoie la communication attaquée, précise que l’observation policière a été mise en œuvre pour déterminer l’éventuelle implication du recourant dans un trafic de produits stupéfiants et mentionne les dates exactes de celle-ci, soit les 17, 24, 27 et 28 mars 2018. S’agissant de l’observation ordonnée par le Ministère public, le rapport précise qu’elle a eu lieu à quatre reprises, soit les 4, 18 et 29 juin 2018 ainsi que le 2 juillet 2018. Dans les deux cas, le rapport indique qu’elles se sont exclusivement déroulées sur la voie publique, des prises de vue ayant uniquement été réalisées en appui aux observations. Force est dès lors de constater que la communication attaquée et son annexe remplissent les exigences légales susmentionnées et comblent les lacunes relevées par la Cour de céans dans son arrêt du 5 mars 2019, dans la mesure où les motifs, le mode et la durée de l’observation y sont clairement indiqués. Au demeurant, contrairement à ce que soutient le recourant, la loi ne prévoit pas que les lieux de l’observation soient énumérés, ni que les activités de la personne observée soient mentionnées, et encore moins les méthodes utilisées par la police (Eugster/Katzenstein, ibidem). La communication litigieuse permet ainsi à l’intéressé de comprendre concrètement la nature de la mesure de contrainte dont il a fait l’objet et, partant, de la contester en connaissance de cause, de sorte qu’elle ne viole pas le droit d’être entendu du recourant. Partant, ce grief doit être rejeté.</w:t>
      </w:r>
    </w:p>
    <w:p>
      <w:r>
        <w:rPr>
          <w:b/>
        </w:rPr>
        <w:t>E. 3</w:t>
      </w:r>
    </w:p>
    <w:p>
      <w:r>
        <w:t>Recours dirigé contre la mesure technique de surveillance (P. 95)</w:t>
      </w:r>
    </w:p>
    <w:p>
      <w:r>
        <w:rPr>
          <w:b/>
        </w:rPr>
        <w:t>E. 3.1</w:t>
      </w:r>
    </w:p>
    <w:p>
      <w:r>
        <w:t>Invoquant ici encore une violation de son droit d’être entendu, le recourant reproche au Ministère public de ne pas avoir fondé sa demande d’autorisation technique sur l’art. 19 al. 2 let. c LStup, soit le cas grave du métier, de sorte que le Tribunal des mesures de contrainte aurait retenu de manière totalement arbitraire, dans son ordonnance du 4 juin 2018 autorisant la pose du dispositif technique de surveillance sur son véhicule, que de graves soupçons laissaient présumer que l’une des infractions visées à l’art. 269 al. 2 CPP avait été commise. Il précise à cet égard qu’aucun élément au dossier n’aurait permis au Tribunal des mesures de contrainte de retenir un cas grave au sens de l’art. 19 al. 2 LStup, dans la mesure où, s’agissant d’un trafic de cannabis, l’application de l’art. 19 al. 2 let. a LStup serait exclue et où il n’aurait jamais été question de l’aggravante de la bande au sens de l’art. 19 al. 2 let. b LStup. Les résultats de cette surveillance seraient dès lors inexploitables.</w:t>
      </w:r>
    </w:p>
    <w:p>
      <w:r>
        <w:rPr>
          <w:b/>
        </w:rPr>
        <w:t>E. 3.2.1</w:t>
      </w:r>
    </w:p>
    <w:p>
      <w:r>
        <w:t>Aux termes de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et de localiser une personne ou une chose (let. c). Selon l’art. 281 al. 4 CPP, l’utilisation de dispositifs techniques de surveillance est régie par les art. 269 à 279 CPP. Elle est en particulier soumise à la condition de l’existence de graves soupçons portant sur une des infractions prévues à l’art. 269 al. 2 CPP (par renvoi de l’art. 269 al. 1 let. a CPP ; ATF 144 IV 370 consid. 2.4), soit notamment au cas grave de l’art. 19 al. 2 let. c LStup (let. f).</w:t>
      </w:r>
    </w:p>
    <w:p>
      <w:r>
        <w:rPr>
          <w:b/>
        </w:rPr>
        <w:t>E. 3.2.2</w:t>
      </w:r>
    </w:p>
    <w:p>
      <w:r>
        <w:t>Selon l’art. 279 al. 1 CPP, au plus tard lors de la clôture de la procédure préliminaire, le ministère public communique au prévenu ainsi qu’au tiers qui ont fait l’objet d’une surveillance au sens de l’art. 270 let. b, les motifs, le mode et la durée de la surveillance. Cette réglementation est la même que celle prévue à l’art. 283 al. 1 CPP relative à l’observation.</w:t>
      </w:r>
    </w:p>
    <w:p>
      <w:r>
        <w:rPr>
          <w:b/>
        </w:rPr>
        <w:t>E. 3.3</w:t>
      </w:r>
    </w:p>
    <w:p>
      <w:r>
        <w:t>En l’espèce, contrairement à ce que soutient le recourant, l’ordonnance du Tribunal des mesures de contrainte du 4 juin 2018 autorisant la pose du dispositif technique de surveillance sur son véhicule mentionne textuellement que « de graves soupçons laissent présumer que l’une des infractions visées à l’art. 269 al. 2 CPP a été commise ». Même si l’art. 19 al. 2 let. c LStup n’est pas expressément cité, cette mention est suffisante, d’autant plus que, comme le relève le recourant lui-même, il s’agit d’un trafic de cannabis qui exclut l’application de l’art. 19 al. 2 let. a LStup et que la bande au sens de l’art. 19 al. 2 let. b LStup n’a jamais été envisagée. Pour le surplus, dans sa communication du 9 avril 2019, le Ministère public indique avoir, le 31 mai 2018, ordonné une surveillance technique du véhicule automobile [...] immatriculé VD [...] par le biais d’une balise GPS et précise que cette mesure, autorisée par le Tribunal des mesures de contrainte en date du 4 juin 2018, a été levée le 30 août 2018. A cet égard, le rapport de la Police de sûreté du 28 mars 2019 (P. 86) indique que le dispositif de surveillance GPS a été posé le 17 juin 2018 sur le véhicule précité. Dans sa communication du 9 avril 2019, le Ministère public précise que cette mesure se fondait sur les graves soupçons découlant notamment des déclarations de W.________, L.________ et Q.________ et explique qu’au vu des quantités de produits cannabiques évoquées et des chiffres d’affaires et bénéfices y relatifs, les faits reprochés au recourant étaient manifestement constitutifs d’une infraction qualifiée à la loi fédérale sur les stupéfiants, à tout le moins à titre de commission par métier au sens de l’art. 19 al. 2 let. c LStup. Au vu de ce qui précède, on ne distingue aucune violation de l’art. 269 al. 2 CPP, ni aucune violation du droit d’être entendu du recourant, les conditions de l’art. 279 al. 1 CPP ayant été respectées, de sorte que ce grief doit être rejeté.</w:t>
      </w:r>
    </w:p>
    <w:p>
      <w:r>
        <w:rPr>
          <w:b/>
        </w:rPr>
        <w:t>E. 4</w:t>
      </w:r>
    </w:p>
    <w:p>
      <w:r>
        <w:t>En définitive, les recours, manifestement mal fondés, doivent être rejetés sans autre échange d’écritures (art. 390 al. 2 CPP) et la décision entreprise confirmée. Les frais de la procédure de recours, constitués en l’espèce du seul émolument d’arrêt, par 1’320 fr. (art. 20 al. 1 TFIP [Tarif des frais de procédure et indemnités en matière pénale du 28 septembre 2010 ; BLV 312.03.1]), seront mis à la charge du recourant, qui succombe (art. 428 al. 1, 1 re phrase, CPP). Par ces motifs, la Chambre des recours pénale prononce : I. Les recours sont rejetés. II. La décision du 9 avril 2019 est confirmée. III. Les frais d’arrêt, par 1’320 fr. (mille trois cent vingt francs), sont mis à la charge de S.________. IV. L’arrêt est exécutoire. Le président :               La greffière : Du Le présent arrêt, dont la rédaction a été approuvée à huis clos, est notifié, par l'envoi d'une copie complète, à : - Me Fabien Mingard, avocat (pour S.________),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