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336 vom 24. April 2019</w:t>
      </w:r>
    </w:p>
    <w:p>
      <w:r>
        <w:t>VD Tribunal cantonal, 2019-04-24, FR</w:t>
      </w:r>
    </w:p>
    <w:p>
      <w:r>
        <w:rPr>
          <w:b/>
        </w:rPr>
        <w:t xml:space="preserve">Quelle: </w:t>
      </w:r>
      <w:r>
        <w:t>https://mcp.opencaselaw.ch/entscheid/vd_findinfo_D_cision___2019___336</w:t>
      </w:r>
    </w:p>
    <w:p>
      <w:r>
        <w:t>FR: VD_FINDINFO Décision / 2019 / 336 du 24 avril 2019</w:t>
      </w:r>
    </w:p>
    <w:p>
      <w:r>
        <w:t>IT: VD_FINDINFO Décision / 2019 / 336 del 24 aprile 2019</w:t>
      </w:r>
    </w:p>
    <w:p>
      <w:pPr>
        <w:pStyle w:val="Heading2"/>
      </w:pPr>
      <w:r>
        <w:t>Regeste</w:t>
      </w:r>
    </w:p>
    <w:p>
      <w:r>
        <w:t>DÉTENTION PROVISOIRE, PROLONGATION, RISQUE DE RÉCIDIVE, MESURE DE SUBSTITUTION À LA DÉTENTION, SOUPÇON, VIOLENCE DOMESTIQUE, PRINCIPE DE LA CÉLÉRITÉ | 221 al. 1 let. c CPP (CH), 221 al. 2 CPP (CH), 237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Se prévalant d’une constatation incomplète et erronée des faits ayant une incidence sur l’existence de forts soupçons de culpabilité au sens de l’art. 221 al. 1 CPP, le recourant soutient qu’il n’aurait pas tenu des propos contradictoires au cours de ses différentes auditions, que ses blessures ne seraient pas compatibles avec les explications données par son épouse, que le message envoyé via Facebook à un ami ne saurait être pris en compte puisqu’il ne serait pas daté, que les blessures constatées sur le cou de son épouse ne démontreraient pas qu’il aurait tenté de la tuer en l’étranglant et que le dossier pénal ne contiendrait aucun indice d’agression ou de menaces de mort, à l’exception des déclarations de son épouse. Il ne serait ainsi pas possible de retenir à son encontre l’existence de soupçons suffisants.</w:t>
      </w:r>
    </w:p>
    <w:p>
      <w:r>
        <w:rPr>
          <w:b/>
        </w:rPr>
        <w:t>E. 3.2.1</w:t>
      </w:r>
    </w:p>
    <w:p>
      <w:r>
        <w:t>Le recours peut être formé pour constatation incomplète ou erronée des faits (art. 393 al. 2 let. b CPP). La constatation des faits est incomplète lorsque des faits pertinents, dûment établis par les actes du dossier, n’ont pas été pris en considération, et est erronée lorsque des faits constatés sont contredits formellement par les actes du dossier (Pitteloud, Code de procédure pénale suisse, Commentaire à l’usage des praticiens, 2012, n. 1153).</w:t>
      </w:r>
    </w:p>
    <w:p>
      <w:r>
        <w:rPr>
          <w:b/>
        </w:rPr>
        <w:t>E. 3.2.2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précité ; ATF 124 I 208 consid. 3 ; TF 1B_308/2018 du 17 juillet 2018 consid. 2.1 ; Forster, in : Niggli/Heer/Wiprächtiger [éd.], Basler Kommentar, Schweizerische Strafprozessordnung, 2 e éd., Bâle 2014, n. 3 ad art. 221 CPP).</w:t>
      </w:r>
    </w:p>
    <w:p>
      <w:r>
        <w:rPr>
          <w:b/>
        </w:rPr>
        <w:t>E. 3.3</w:t>
      </w:r>
    </w:p>
    <w:p>
      <w:r>
        <w:t>S’agissant des soupçons sérieux pesant sur le prévenu, le premier juge s’est intégralement référé à sa précédente ordonnance ainsi qu’à l’arrêt de la Chambre des recours pénale précité, précisant toutefois que ces soupçons s’étaient encore renforcés depuis le dépôt du rapport de l’UMV du 11 mars 2019. Contrairement à ce que soutient le recourant, ce procédé est admissible au regard des exigences du droit d’être entendu (TF 1B_247/2015 du 4 août 2015 consid. 2 ; TF 1B_149/2010 du 1 er juin 2010 consid. 1.3 ; CREP 18 avril 2017/252 et la référence citée). Les arguments soulevés par le recourant étant en l’espèce en grande partie identiques à ceux soulevés à l’appui de son précédent recours, la Cour de céans reprendra également en plusieurs points les considérants développés dans son arrêt du 13 mars 2019, qui conservent leur pertinence en l’absence d’éléments nouveaux. En l'espèce, il peut être donné acte au recourant qu'il présentait, selon le certificat médical établi le 6 février 2019, des dermabrasions et des ecchymoses à plusieurs endroits du corps, soit au niveau de la tête, du cou, du thorax, du dos et des bras. Cela étant, l'intimée a admis avoir jeté l'ordinateur portable en direction de son mari, l’avoir griffé et lui avoir arraché sa chaîne en or lorsqu'il était en train de l'étranger pour se défendre (PV aud. du 3 février 2019). Elle a également admis avoir lancé une chaise en direction de son mari, lui avoir pris l'oreille et l’avoir frappé au visage pour se dégager (PV aud. du 20 février 2019). De son côté, le recourant persiste à nier tout acte de violence et soutient qu'il n'aurait fait que se défendre des agressions de son épouse, notamment en la repoussant (PV aud. du 3 février 2019 ; PV aud. des 14 février et 1 er mars 2019). Plus en détail, il a tout d'abord déclaré qu'il avait saisi son épouse par le poignet pour se protéger parce que celle-ci brandissait un couteau (PV aud. 3 février 2019, p. 7) ; puis, confronté à la photographie des blessures au niveau du cou de l'intimée, il a changé de version en prétendant qu'il l'avait saisie non plus par le poignet pour se défendre, mais pas le cou pour se défendre (PV aud. du 14 février 2019, l. 118-120 et 125-126). Vu les éléments qui précèdent, on ne peut que constater la bonne collaboration de l'intimée, qui reconnaît plusieurs agissements à l'égard de son mari sans qu'il soit nécessaire de la confronter à des photographies. Les blessures constatées sur le corps du recourant sont en outre parfaitement compatibles avec les gestes que l'intimée admet avoir commis. Cela n'est en revanche pas le cas du recourant, qui nie et n'admet que lorsqu'il est confronté à l'évidence des photographies. Du surcroît, sa seconde version des faits, selon laquelle il aurait saisi son épouse par le cou pour se défendre parce qu'elle brandissait un couteau, n'est absolument pas crédible, puisqu'il lui suffisait, comme il l'a déclaré en premier lieu à la police le 4 février 2019 et au médecin le 6 février suivant, de la saisir par le poignet pour lui faire lâcher prise. Il n'existe aucune raison de mettre en doute le contenu du constat médical. Enfin, on notera que le recourant a menti à la Procureure le 14 février 2019, puisqu'il a d'abord déclaré que son épouse n'était pas encore rentrée au domicile conjugal après son séjour à Malley-Prairie et qu'il ne savait pas où elle était, avant de finalement admettre qu'elle était rentrée à la maison le soir précédent (l. 53-54 et 78-79). En outre, comme l’a à juste titre relevé le premier juge, les soupçons à l’encontre du prévenu se sont renforcés depuis le dernier examen de la détention provisoire, notamment avec le dépôt du rapport de l’UMV du 11 mars 2019 concernant l’intimée, ainsi que son annexe, qui fait état de différentes lésions au niveau de la tête, du cou, du dos, du membre supérieur droit et des membres inférieurs. Enfin, s'il est vrai que la capture d'écran du message Facebook que l'intimée aurait envoyé à un ami n'est pas datée, il n'en demeure pas moins que cela montre que l'intéressée a cherché, une nuit à 1 h 40, à obtenir de l'aide. A ce stade de l'enquête, il existe donc des indices sérieux que le recourant ait commis les actes et proféré les menaces de mort reprochés, à savoir qu'il aurait saisi l'intimée au niveau du cou une première fois à fin janvier 2019, puis deux fois le 3 février 2019 allant jusqu'à l'empêcher de respirer, et qu'il lui aurait dit que soit elle était avec lui, soit elle n'avait pas à exister (fin janvier 2019), qu'il la tuerait si elle l'envoyait en prison (19 février 2019) et qu'il préférerait la tuer et aller en prison plutôt que de divorcer et payer des frais d'avocat (21 février 2019). Cela est suffisant pour conclure à l'existence de forts soupçons de culpabilité, malgré les dénégations du recourant.</w:t>
      </w:r>
    </w:p>
    <w:p>
      <w:r>
        <w:rPr>
          <w:b/>
        </w:rPr>
        <w:t>E. 4.1</w:t>
      </w:r>
    </w:p>
    <w:p>
      <w:r>
        <w:t>Le recourant soutient que les conditions pour retenir un risque de récidive ou de passage à l’acte ne seraient pas réalisées en l’espèce. Il fait valoir qu’il réside en Suisse depuis plus de dix ans, que son casier judiciaire est vierge, qu’une grande partie des faits de la présente procédure est contestée et qu’il n’existerait aucun élément permettant de soutenir qu’il pourrait adopter un comportement violent.</w:t>
      </w:r>
    </w:p>
    <w:p>
      <w:r>
        <w:rPr>
          <w:b/>
        </w:rPr>
        <w:t>E. 4.2.1</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précité).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précité consid. 2.7 ; TF 1B_3/2019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Lorsqu'on dispose d'une expertise psychiatrique ou d'un pré-rapport – moyens d'instruction dont la mise en œuvre n'est pas forcément nécessaire dans tous les cas où le risque de récidive est examiné –,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1B_3/2019 précité).</w:t>
      </w:r>
    </w:p>
    <w:p>
      <w:r>
        <w:rPr>
          <w:b/>
        </w:rPr>
        <w:t>E. 4.2.2</w:t>
      </w:r>
    </w:p>
    <w:p>
      <w:r>
        <w:t>L'art. 221 al. 2 CPP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(ATF 140 IV 19 consid. 2.1.1 ; TF 1B_108/2018 du 28 mars 2018 consid. 2.3).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précité ; ATF 137 IV 122 précité). Plus l'infraction redoutée est grave, plus la mise en détention se justifie lorsque les éléments disponibles ne permettent pas une évaluation précise de ce risque (ATF 140 IV 19 précité ; TF 6B_446/2015 du 19 janvier 2016 consid. 2.1 ; CREP 8 avril 2019/277 consid. 4.1.2).</w:t>
      </w:r>
    </w:p>
    <w:p>
      <w:r>
        <w:rPr>
          <w:b/>
        </w:rPr>
        <w:t>E. 4.3</w:t>
      </w:r>
    </w:p>
    <w:p>
      <w:r>
        <w:t>En l’espèce, il peut être retenu à ce stade de la procédure que les relations entre les époux se sont dégradées très rapidement après leur arrivée en Suisse le 20 janvier 2019. Il existe des soupçons suffisants que les actes de violence du recourant soient allés crescendo : il aurait serré le cou de son épouse une première fois fin janvier 2019 et lui aurait dit que soit elle était avec lui, soit elle n'avait plus à exister ; il aurait serré le cou de son épouse deux fois le 3 février 2019, allant jusqu'à l'empêcher de respirer la deuxième fois, puis, malgré un premier séjour de son épouse à Malley-Prairie et un avertissement formel de la part de la Procureure qu'il risquait une mise en détention provisoire en cas nouveaux agissements répréhensibles, il n'aurait pas hésité à menacer explicitement son épouse de mort à deux reprises les 19 et 21 février 2019. En outre, à la fin de son audition par la Procureure le 1 er mars 2019, le recourant a déclaré : « J'aimerais vous dire que je considère n'avoir rien fait et j'aimerais bien savoir sur quelle base vous me mettez en prison. Je ne comprends toujours pas la raison pour laquelle vous m'arrêtez, car je n'ai rien fait ». Il résulte des éléments qui précèdent qu’en l’état, en l’absence d’une expertise psychiatrique, seul un pronostic très défavorable peut être émis. Compte tenu des circonstances et de son absence totale de prise de conscience, il est en effet sérieusement à craindre que le recourant mette à profit sa liberté non seulement pour réitérer des actes de violence physique et verbale à l'encontre de l'intimée, mais aussi pour s'en prendre à sa vie au vu des raisons invoquées pour mettre ses menaces de mort à exécution. Ces risques sont suffisamment concrets pour justifier son maintien en détention provisoire.</w:t>
      </w:r>
    </w:p>
    <w:p>
      <w:r>
        <w:rPr>
          <w:b/>
        </w:rPr>
        <w:t>E. 5</w:t>
      </w:r>
    </w:p>
    <w:p>
      <w:r>
        <w:t>Le recourant se plaint d’une violation du principe de la célérité (art. 5 CPP). Il soutient que selon la jurisprudence du Tribunal fédéral, lorsque la détention provisoire repose dans une large mesure sur le pronostic de dangerosité, il peut s’avérer nécessaire que le Ministère public, sans attendre le dépôt du rapport d’expertise psychiatrique sur l’ensemble des questions qui se posent, demande à l’expert psychiatre de donner rapidement un premier avis sur le pronostic en question (TF 1B_567/2018 du 21 janvier 2019 consid. 4.3 et les références citées). Or en l’espèce, si le Ministère public a indiqué qu’il entendait mettre en œuvre une expertise médico-légale et a imparti aux parties un délai au 26 mars 2019 pour formuler leurs observations, il n’aurait pas demandé à l’expert de donner rapidement un premier avis sur le pronostic de dangerosité. D’abord, on ne discerne aucun retard dans les opérations visant à mettre en œuvre une expertise. Ensuite, et pour autant qu’on y voie une violation du principe de la célérité, celle-ci ne saurait entraîner la libération immédiate du recourant (CREP 16 mars 2017/180 consid. 8.3). Par ailleurs, le principe de la célérité s’oppose à ce que la Chambre des recours pénale demande elle-même, comme sollicité par le recourant, un avis oral de l’expert sur le pronostic de dangerosité, lequel pourra être requis s’il y a lieu par le Ministère public dans le cadre de l’instruction préliminaire qui se poursuit.</w:t>
      </w:r>
    </w:p>
    <w:p>
      <w:r>
        <w:rPr>
          <w:b/>
        </w:rPr>
        <w:t>E. 6.1</w:t>
      </w:r>
    </w:p>
    <w:p>
      <w:r>
        <w:t>Le recourant soutient enfin que les mesures de substitution qu’il a proposées, soit l’interdiction d’approcher son épouse et d’entretenir des relations avec elle, une surveillance électronique visant à surveiller le respect de ces interdictions et l’obligation de se soumettre à un suivi auprès du Centre Prévention de l’Ale, seraient suffisantes pour prévenir un risque de récidive ou de passage à l’acte.</w:t>
      </w:r>
    </w:p>
    <w:p>
      <w:r>
        <w:rPr>
          <w:b/>
        </w:rPr>
        <w:t>E. 6.2.1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6.2.2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6.3</w:t>
      </w:r>
    </w:p>
    <w:p>
      <w:r>
        <w:t>En l’espèce, aucune des mesures de substitution proposées n’apparaît propre, en l’état, à contenir les risques de réitération et de passage à l’acte retenus. En effet, au vu de la dégradation de sa relation avec son épouse et des menaces de mort proférées à son encontre, il est à craindre que le recourant ne soit pas en mesure de respecter les injonctions ou interdictions qui pourraient être ordonnées. Par ailleurs, le port d’un bracelet électronique n’apparaît pas apte à pallier les risques retenus, dans la mesure où cette surveillance permettrait certes de constater qu’il ne se trouve pas à un endroit dont l’accès lui est interdit, mais aucunement de prévenir un passage à l’acte ou d’intervenir suffisamment rapidement en cas de besoin (CREP 12 juin 2018/440 consid. 5.3). Un suivi auprès du Centre Prévention de l’Ale, s’il serait certainement bénéfique au recourant à terme, ne saurait pas non plus, à ce stade, constituer une garantie suffisante vu la gravité des faits qui lui sont reprochés, l’atteinte aux biens juridiques protégés considérée et les risques pour la sécurité de la plaignante, qui commandent de faire preuve de la plus grande prudence. Pour le surplus, si les soupçons à l’encontre du recourant devaient se confirmer, celui-ci s’exposerait concrètement, au regard de la gravité des accusations portées contre lui, à une peine privative de liberté nettement supérieure à la période de détention provisoire qu’il aura subie le 1 er juin 2019. Partant, le principe de la proportionnalité demeure respecté.</w:t>
      </w:r>
    </w:p>
    <w:p>
      <w:r>
        <w:rPr>
          <w:b/>
        </w:rPr>
        <w:t>E. 7</w:t>
      </w:r>
    </w:p>
    <w:p>
      <w:r>
        <w:t>Il résulte de ce qui précède que le recours, manifestement mal fondé, doit être rejeté sans échange d’écritures (art. 390 al. 2 CPP) et l’ordonnance entreprise confirmée. Les frais de la procédure de recours, constitués en l’espèce du seul émolument d'arrêt, par 1’760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II. L’ordonnance du 1 er avril 2019 est confirmée. III. Les frais d’arrêt, par 1’760 fr. (mille sept cent soixante francs), sont mis à la charge d’N.________. IV. L’arrêt est exécutoire. Le président :               La greffière : Du Le présent arrêt, dont la rédaction a été approuvée à huis clos, est notifié, par l'envoi d'une copie complète, à : - Me Ludovic Tirelli, avocat (pour N.________), - Ministère public central, et communiqué à : ‑ Mme la Présidente du Tribunal des mesures de contrainte, - Mme la Procureure de l’arrondissement de l’Est vaudois, - Me Anne-Claire Boudry, avocate (pour R.________),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