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283 vom 25. März 2019</w:t>
      </w:r>
    </w:p>
    <w:p>
      <w:r>
        <w:t>VD Tribunal cantonal, 2019-03-25, FR</w:t>
      </w:r>
    </w:p>
    <w:p>
      <w:r>
        <w:rPr>
          <w:b/>
        </w:rPr>
        <w:t xml:space="preserve">Quelle: </w:t>
      </w:r>
      <w:r>
        <w:t>https://mcp.opencaselaw.ch/entscheid/vd_findinfo_D_cision___2019___283</w:t>
      </w:r>
    </w:p>
    <w:p>
      <w:r>
        <w:t>FR: VD_FINDINFO Décision / 2019 / 283 du 25 mars 2019</w:t>
      </w:r>
    </w:p>
    <w:p>
      <w:r>
        <w:t>IT: VD_FINDINFO Décision / 2019 / 283 del 25 marzo 2019</w:t>
      </w:r>
    </w:p>
    <w:p>
      <w:pPr>
        <w:pStyle w:val="Heading2"/>
      </w:pPr>
      <w:r>
        <w:t>Regeste</w:t>
      </w:r>
    </w:p>
    <w:p>
      <w:r>
        <w:t>NON-LIEU, DIFFAMATION, CALOMNIE | 173 CP, 174 CP, 310 CPP (CH)</w:t>
      </w:r>
    </w:p>
    <w:p>
      <w:pPr>
        <w:pStyle w:val="Heading2"/>
      </w:pPr>
      <w:r>
        <w:t>Erwägungen</w:t>
      </w:r>
    </w:p>
    <w:p>
      <w:r>
        <w:rPr>
          <w:b/>
        </w:rPr>
        <w:t>E. 4</w:t>
      </w:r>
    </w:p>
    <w:p>
      <w:r>
        <w:t>En définitive, le recours doit être rejeté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14 décembre 2018 est confirmée. III. Les frais d’arrêt, par 880 fr. (huit cent huitante francs), sont mis à la charge de B.X.________. IV. L’arrêt est exécutoire. Le président : La greffière : Du Le présent arrêt, dont la rédaction a été approuvée à huis clos, est notifié, par l'envoi d'une copie complète, à : - Me Astyanax Peca, avocat (pour B.X.________), - M. D.P.________,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