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278 vom 12. März 2019</w:t>
      </w:r>
    </w:p>
    <w:p>
      <w:r>
        <w:t>VD Tribunal cantonal, 2019-03-12, FR</w:t>
      </w:r>
    </w:p>
    <w:p>
      <w:r>
        <w:rPr>
          <w:b/>
        </w:rPr>
        <w:t xml:space="preserve">Quelle: </w:t>
      </w:r>
      <w:r>
        <w:t>https://mcp.opencaselaw.ch/entscheid/vd_findinfo_D_cision___2019___278</w:t>
      </w:r>
    </w:p>
    <w:p>
      <w:r>
        <w:t>FR: VD_FINDINFO Décision / 2019 / 278 du 12 mars 2019</w:t>
      </w:r>
    </w:p>
    <w:p>
      <w:r>
        <w:t>IT: VD_FINDINFO Décision / 2019 / 278 del 12 marzo 2019</w:t>
      </w:r>
    </w:p>
    <w:p>
      <w:pPr>
        <w:pStyle w:val="Heading2"/>
      </w:pPr>
      <w:r>
        <w:t>Regeste</w:t>
      </w:r>
    </w:p>
    <w:p>
      <w:r>
        <w:t>NON-LIEU, ADMISSION DE LA DEMANDE | 125 CP, 310 CPP (CH)</w:t>
      </w:r>
    </w:p>
    <w:p>
      <w:pPr>
        <w:pStyle w:val="Heading2"/>
      </w:pPr>
      <w:r>
        <w:t>Erwägungen</w:t>
      </w:r>
    </w:p>
    <w:p>
      <w:r>
        <w:rPr>
          <w:b/>
        </w:rPr>
        <w:t>E. 1</w:t>
      </w:r>
    </w:p>
    <w:p>
      <w:r>
        <w:t>CPP) auprès de l’autorité compétente, par la partie plaignante qui a qualité pour recourir (art. 382 al. 1 CPP), le recours de F.________ est recevable.</w:t>
      </w:r>
    </w:p>
    <w:p>
      <w:r>
        <w:rPr>
          <w:b/>
        </w:rPr>
        <w:t>E. 2.1</w:t>
      </w:r>
    </w:p>
    <w:p>
      <w:r>
        <w:t>Le recourant invoque une violation de l’art. 310 CPP et du principe « in dubio pro duriore. »</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(TF 6B_766/2018 du 28 septembre 2018 consid. 3.1; TF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ATF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p. 243 et les arrêts cités; TF 6B_766/2018 précité consid. 3.1; TF 6B_193/2018 du 3 juillet 2018 consid. 2.1; TF 6B_1177/2017 du 16 avril 2018 consid. 2.1).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w:t>
      </w:r>
    </w:p>
    <w:p>
      <w:r>
        <w:rPr>
          <w:b/>
        </w:rPr>
        <w:t>E. 2.2.2</w:t>
      </w:r>
    </w:p>
    <w:p>
      <w:r>
        <w:t>L'art. 125 CP (Code pénal suisse du 21 décembre 1937; RS 311.0) réprime le comportement de celui qui, par négligence, aura fait subir à une personne une atteinte à l'intégrité corporelle ou à la santé. 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p. 140; ATF 135 IV 56 consid. 2.1 p. 64; ATF 134 IV 255 consid. 4.2.3 p. 262). En second lieu, la violation du devoir de prudence doit être fautive, c'est-à-dire qu'il faut pouvoir reprocher à l'auteur une inattention ou un manque d'effort blâmable (ATF 135 IV 56 consid. 2.1 p. 64; ATF 134 IV 255 consid. 4.2.3 p. 262 et les références citées). Le respect des prescriptions de sécurité ne s'impose pas seulement à celui qui a provoqué le risque spécifique d'accident, mais aussi à tout employeur de personnes visiblement exposées à un danger; le fait d'attirer l'attention sur le danger au lieu de mettre en œuvre des mesures de sécurité ne suffit pas (cf. ATF 109 IV 15, JdT 1984 IV 12). Au sein d'une entreprise, le devoir de diligence incombant aux dirigeants, eu égard à leur position particulière, a trait à l'obligation d'adopter et de mettre en œuvre les mesures de sécurité nécessaires et raisonnables, afin de prévenir la concrétisation des risques spécifiques inhérents à l'activité commerciale. Il incombe de surcroît à l’employeur de choisir avec soin ses collaborateurs (cura in eligendo), d’assurer leur instruction de façon adéquate (cura in instruendo) et d’assumer leur surveillance (cura in custodiendo) selon les modalités requises par les circonstances. C’est également à l’aune de ces exigences particulières que s’examine la faculté de déléguer à des subordonnés la mise en œuvre des mesures organisationnelles destinées à assurer la sécurité des employés et des tiers (Dupuis et al., Petit Commentaire du Code pénal, 2 e éd., Bâle, 2012, n. 7 ad art. 125 CP et n. 22 ad art. 117 CP et les références citées). Le directeur des travaux est tenu de veiller au respect des règles de l'art de construire et répond aussi bien d'une action que d'une omission. L'omission peut consister à ne pas surveiller, à ne pas contrôler le travail ou à tolérer une exécution dangereuse (TF 6B_145/2015 du 29 janvier 2016 consid. 2.1.1. et les références citées).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p. 61).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TF 6B_86/2010 du 9 avril 2010 consid. 2.4; TF 6B_200/2017 du 1 er novembre 2017 consid. 4.1).</w:t>
      </w:r>
    </w:p>
    <w:p>
      <w:r>
        <w:rPr>
          <w:b/>
        </w:rPr>
        <w:t>E. 2.3</w:t>
      </w:r>
    </w:p>
    <w:p>
      <w:r>
        <w:t>En l’occurrence, F.________ prétend que le comportement de G.________ aurait réalisé l’infraction de mise en danger de la vie d’autrui (art. 129 CP). En tous cas, comme le recourant a été blessé, les lésions corporelles par négligence de l’art. 125 CP peuvent entrer en ligne de compte. Il y a lieu de souligner qu’en matière d’accidents de chantier, les règles de prudence peuvent non seulement avoir été violées par le travailleur qui a adopté un comportement directement dommageable, mais également par ses collègues, ou encore par ses supérieurs hiérarchiques auxquels on pourrait reprocher des omissions (cf. cura in eligendo, custodiendo et instruendo). Pour la Cour de céans, il est impossible d’exclure, à ce stade, et sur la simple version des faits de l’autre travailleur entendu, la commission d’une infraction. La Procureure ne pouvait par conséquent pas invoquer qu’il s’agissait d’un délit entre quatre yeux, ce qui pourrait ne pas être le cas, pour rendre une ordonnance de non-entrée en matière. Elle ne pouvait pas non plus, en l’absence d’éléments manifestement probants, mettre en doute les dires du plaignant. Enfin, le raisonnement fait subsidiairement par la magistrate ne tient pas compte de la responsabilité éventuelle d’autres personnes que G.________</w:t>
      </w:r>
    </w:p>
    <w:p>
      <w:r>
        <w:rPr>
          <w:b/>
        </w:rPr>
        <w:t>E. 3</w:t>
      </w:r>
    </w:p>
    <w:p>
      <w:r>
        <w:t>Au vu de ce qui précède, les conditions pour prononcer une non-entrée en matière ne sont pas réunies. Il appartiendra au Ministère public d’ouvrir formellement une enquête et de mettre en œuvre les mesures d’instruction nécessaires afin de déterminer, eu égard aux faits dénoncés, si une quelconque infraction a pu être commise par quiconque intéressé aux travaux en cause.</w:t>
      </w:r>
    </w:p>
    <w:p>
      <w:r>
        <w:rPr>
          <w:b/>
        </w:rPr>
        <w:t>E. 4</w:t>
      </w:r>
    </w:p>
    <w:p>
      <w:r>
        <w:t>En définitive, le recours doit être admis. L’ordonnance de non-entrée en matière du 7 décembre 2018 doit être annulée et le dossier de la cause renvoyé au Ministère public de l’arrondissement de l’Est vaudois pour qu’il procède dans le sens des considérants. La requête tendant à l’octroi de l’assistance judiciaire gratuite pour la procédure de recours de F.________, dont l’indigence (art. 136 al. 1 let. a CPP) ressort suffisamment du dossier, doit être admise et l’avocat Maxime Crisinel être désigné en qualité de conseil juridique gratuit pour la procédure de recours. Les frais de la procédure de recours, constitués en l’espèce de l’émolument d’arrêt, par 990 fr. (art. 422 al. 1 CPP et 20 al. 1 TFIP [Tarif des frais de procédure et indemnités en matière pénale du 28 septembre 2010; BLV 312.03.1]), ainsi que des frais imputables à l’assistance judiciaire gratuite (art. 422 al. 1 et al. 2 let. a CPP), fixés à 540 fr., plus la TVA par 41 fr. 60, soit à 581 fr. 60 au total, seront laissés à la charge de l’Etat (art. 423 al. 1 CPP). Par ces motifs, la Chambre des recours pénale prononce : I. Le recours est admis. II. L’ordonnance du 7 décembre 2018 est annulée. III. Le dossier de la cause est renvoyé au Ministère public de l’arrondissement de l’Est vaudois pour qu’il procède dans le sens des considérants. IV. L’indemnité allouée au conseil juridique gratuit de F.________ est fixée à 581 fr. 60 (cinq cent huitante et un francs et soixante centimes). V. Les frais d’arrêt, par 990 fr. (neuf cent nonante francs), ainsi que l’indemnité due au conseil juridique gratuit de F.________, par 581 fr. 60 (cinq cent huitante et un francs et soixante centimes), sont laissés à la charge de l’Etat. VI. L’arrêt est exécutoire. Le président :               Le greffier : Du Le présent arrêt, dont la rédaction a été approuvée à huis clos, est notifié, par l'envoi d'une copie complète, à : - Me Maxime Crisinel, avocat (pour F.________),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applicable par le renvoi de l’art. 138 al. 1 CPP, le présent arrêt peut, en tant qu'il concerne l’indemnité du conseil juridique gratuit,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