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267 vom 26. März 2019</w:t>
      </w:r>
    </w:p>
    <w:p>
      <w:r>
        <w:t>VD Tribunal cantonal, 2019-03-26, FR</w:t>
      </w:r>
    </w:p>
    <w:p>
      <w:r>
        <w:rPr>
          <w:b/>
        </w:rPr>
        <w:t xml:space="preserve">Quelle: </w:t>
      </w:r>
      <w:r>
        <w:t>https://mcp.opencaselaw.ch/entscheid/vd_findinfo_D_cision___2019___267</w:t>
      </w:r>
    </w:p>
    <w:p>
      <w:r>
        <w:t>FR: VD_FINDINFO Décision / 2019 / 267 du 26 mars 2019</w:t>
      </w:r>
    </w:p>
    <w:p>
      <w:r>
        <w:t>IT: VD_FINDINFO Décision / 2019 / 267 del 26 marzo 2019</w:t>
      </w:r>
    </w:p>
    <w:p>
      <w:pPr>
        <w:pStyle w:val="Heading2"/>
      </w:pPr>
      <w:r>
        <w:t>Regeste</w:t>
      </w:r>
    </w:p>
    <w:p>
      <w:r>
        <w:t>NON-LIEU, DIFFAMATION, ADMISSION DE LA DEMANDE | 14 CP, 173 CP,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auprès de l’autorité compétente par la partie plaignante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Selon l'art. 31 CP (Code pénal suisse du 21 décembre 1937 ; RS 311.0), le droit de porter plainte se prescrit par trois mois dès le jour où l'ayant droit a connu l'auteur de l'infraction. Le délai institué par l'art. 31 CP étant un délai de péremption, il ne peut être ni interrompu ni prolongé (ATF 118 IV 325 consid. 2b). Le point de départ du délai de plainte est le jour où le lésé a connaissance non seulement de l'auteur de l'infraction, mais aussi des éléments objectifs et subjectifs de celle-ci (ATF 132 IV 49 consid. 3.2 in initio ; TF 6B_145/2010 du 11 mai 2010 consid. 1.3 ; Riedo, Der Strafantrag, thèse Fribourg, 2004, pp. 444 ss).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La détermination du dies a quo se fait en tenant compte des circonstances du cas d’espèce (CREP 22 novembre 2017/801 consid. 3.1.1 ; Dupuis et al., Petit commentaire du Code pénal, 2 e éd., Bâle 2017, n. 4 ad art. 31 CP, et les réf. cit.). La tardiveté d’une plainte, à l’instar du retrait de la plainte (Moreillon/ Parein-Reymond, Petit commentaire du CPP, 2 e éd., Bâle 2016, n. 13 ad art. 310 CPP), doit être assimilée à un empêchement de procéder au sens de l’art. 310 al. 1 let. b CPP, du moins lorsqu’aucune infraction poursuivie d’office n’est en cause (CREP 15 février 2018/116 ; CREP 7 juillet 2017/462 ; CREP 12 décembre 2013/818).</w:t>
      </w:r>
    </w:p>
    <w:p>
      <w:r>
        <w:rPr>
          <w:b/>
        </w:rPr>
        <w:t>E. 3.2</w:t>
      </w:r>
    </w:p>
    <w:p>
      <w:r>
        <w:t>Dans le cas particulier, les plaintes ont été déposées le 12 octobre 2018 alors que les plus anciens des faits dénoncés remontent au 7 septembre 2017. A.M.________ avait d’emblée connaissance de tous les éléments déterminants qui lui auraient permis de procéder dans le délai légal. Il ne l’a toutefois pas fait. Ses plaintes sont donc effectivement tardives s’agissant des écrits datés des 7 septembre 2017, 19 octobre 2017 et 14 novembre 2017. Cet empêchement de procéder commande la non-entrée en matière conformément à l’art. 310 al. 1 let. b CPP et l’ordonnance de non-entrée en matière du Ministère public ne prête donc pas le flanc à la critique sur ce point. Le recourant ne le soutient du reste pas.</w:t>
      </w:r>
    </w:p>
    <w:p>
      <w:r>
        <w:rPr>
          <w:b/>
        </w:rPr>
        <w:t>E. 4.1</w:t>
      </w:r>
    </w:p>
    <w:p>
      <w:r>
        <w:t>S’agissant des autres faits mentionnés dans ses plaintes, A.M.________ reproche à l’avocate N.________ d’être allée au-delà de ce qui était nécessaire pour défendre sa cliente, I.M.________, et de l’avoir fait passer pour méprisable, lors de deux occasions. D’une part, il fait grief à N.________, lors de sa saisine du Bâtonnier par courrier du 13 juillet 2018, d’avoir essayé de le faire passer pour quelqu’un qui ne respecte pas la loi, à savoir les art. 159 al. 3 et 163 CC (Code civil du 10 décembre 1907 ; RS 210), voire qui la viole sciemment, et ce auprès d’un tiers et non dans le cadre d’un débat judiciaire. D’autre part, A.M.________ reproche à N.________, dans des déterminations au Tribunal fédéral du 13 août 2018 dans lesquelles elle a affirmé qu’il avait diminué volontairement ses revenus pour nuire à son épouse, d’avoir continué à propager ses fausses allégations de fait sur l’organisation de son impécuniosité alors qu’elle savait – parce qu’il avait produit des certificats médicaux et l’entier de sa comptabilité – qu’en réalité sa baisse de revenus était due à un « burn out ». En outre, le recourant relève que le Ministère public n’aurait pas traité l’ensemble des assertions prétendument attentatoires à son honneur qu’il aurait dénoncées, à savoir notamment les déterminations susmentionnées.</w:t>
      </w:r>
    </w:p>
    <w:p>
      <w:r>
        <w:rPr>
          <w:b/>
        </w:rPr>
        <w:t>E. 4.2.1</w:t>
      </w:r>
    </w:p>
    <w:p>
      <w:r>
        <w:t>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Il faut considérer comme tiers au sens de ces dispositions toute personne autre que l’auteur et la personne visée ; il peut s’agir de l’avocat de l’auteur, ou d’un magistrat ou fonctionnaire dans l’exercice de son activité (Corboz, Les infractions en droit suisse, vol. I, 3 e éd., Berne 2010, n. 45 ad art. 173 CP).</w:t>
      </w:r>
    </w:p>
    <w:p>
      <w:r>
        <w:rPr>
          <w:b/>
        </w:rPr>
        <w:t>E. 4.2.2</w:t>
      </w:r>
    </w:p>
    <w:p>
      <w:r>
        <w:t>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w:t>
      </w:r>
    </w:p>
    <w:p>
      <w:r>
        <w:rPr>
          <w:b/>
        </w:rPr>
        <w:t>E. 4.2.3</w:t>
      </w:r>
    </w:p>
    <w:p>
      <w:r>
        <w:t>Lorsque le caractère diffamatoire des propos dénoncés est retenu (art. 173 ch. 1 CP), l'examen de l'autorité pénale n'est pas terminé. Elle doit ensuite vérifier si l'art. 173 ch. 2 et/ou 3 CP est applicable ; cela implique généralement des actes d'instruction complémentaires, à savoir – pour le moins – une nouvelle prise de position du prévenu sur ses éventuels motifs justificatifs et les déterminations des parties plaignantes sur ceux-ci. Au regard de l'instruction nécessaire sur cette problématique – subséquente –, le prononcé d'une ordonnance de non-entrée en matière est ainsi en principe exclu lorsque l'art. 173 ch. 1 CP est retenu (TF 6B_539/2016 du 1 er novembre 2017 consid. 2.2.2). Le fait justificatif fréquemment invoqué dans le cadre de la diffamation est celui des actes autorisés par la loi (art. 14 CP). Conformément à cette disposition, quiconque agit comme la loi l'ordonne ou l'autorise se comporte de manière licite, même si l'acte est punissable en vertu du présent code ou d'une autre loi. Cette norme peut, dans certaines hypothèses, exclure la culpabilité en cas d'atteinte à l'honneur. La jurisprudence admet ainsi que les déclarations attentatoires à l'honneur émanant de parties à un procès et de leurs avocats peuvent être justifiées par le droit d'alléguer en procédure et les obligations y relatives consacrés par la constitution et les lois, respectivement par un devoir de fonction, à condition que le déclarant se soit exprimé de bonne foi en se limitant à ce qui était nécessaire et pertinent et qu'il ait présenté comme telles de simples suppositions (ATF 131 IV 154 consid. 1.3.1 ; ATF 135 IV 177 consid. 4 ; TF 6B_334/2018 du 28 juin 2018 consid. 2.1.3 et les références citées). Il ne peut pas, pour ruiner la crédibilité des déclarations à charge, procéder à des allégations fausses ou qu’il n’a pas de raisons suffisantes de tenir de bonne foi pour vraies (Corboz, op. cit., n. 116 ad art. 173 CP).</w:t>
      </w:r>
    </w:p>
    <w:p>
      <w:r>
        <w:rPr>
          <w:b/>
        </w:rPr>
        <w:t>E. 4.3.1</w:t>
      </w:r>
    </w:p>
    <w:p>
      <w:r>
        <w:t>En l’occurrence, dans ses écrits adressés à des tiers, soit au Bâtonnier et au Tribunal fédéral, N.________ a objectivement laissé entendre que A.M.________ était l’auteur de pratiques illicites, voire d’une infraction, à savoir la violation d’une obligation d’entretien. Ses propos sont dès lors susceptibles de porter atteinte à la réputation du recourant. Ainsi, contrairement à ce que conclut le Procureur dans l’ordonnance attaquée, il n’est pas possible d’exclure à ce stade la commission d’une infraction d’atteinte à l’honneur. En outre, comme le relève à juste titre le recourant s’agissant plus particulièrement des déterminations de N.________ au Tribunal fédéral, celles-ci ne figurent aucunement dans l’ordonnance de non-entrée en matière, que ce soit dans la description des faits reprochés ou dans la motivation. Le Ministère public, en ne s’intéressant qu’au courrier adressé par cette dernière au Bâtonnier, a ainsi omis d’examiner un cas potentiel de calomnie, subsidiairement de diffamation, figurant dans la plainte de A.M.________.</w:t>
      </w:r>
    </w:p>
    <w:p>
      <w:r>
        <w:rPr>
          <w:b/>
        </w:rPr>
        <w:t>E. 4.3.2</w:t>
      </w:r>
    </w:p>
    <w:p>
      <w:r>
        <w:t>Quant à l’existence d’un éventuel fait justificatif permettant d’autoriser les propos émis par N.________ à l’encontre de A.M.________, la motivation de l’ordonnance de non-entrée en matière n’en fait pas état. En outre, puisqu’il n’est pas entré en matière, le Procureur n’a pas, par des actes d’instruction, vérifié si l'art. 173 ch. 2 et/ou 3 CP était applicable. S’agissant de la saisine du Bâtonnier, il est douteux qu’elle était objectivement justifiée. L’art. 29 du Code suisse de déontologie prévoit en effet que l’avocat doit s’adresser à l’Ordre des avocats s’il se plaint lui-même d’une violation par un confrère d’une règle légale ou déontologique. Or, en l’espèce, l’avocate N.________ ne faisait pas état d’un litige entre elle et l’avocat A.M.________, mais d’un litige entre sa cliente et A.M.________. Ainsi, elle n’avait pas l’obligation d’aviser le Bâtonnier et on ne voit pas en quoi il y aurait un fait justificatif. Du reste, par courrier du 18 juillet 2018 adressé à N.________ et à A.M.________, le Bâtonnier a indiqué qu’il n’y avait pas de rapport avec une activité d’avocat et que, dans ce cadre strictement privé, il n’avait pas à intervenir et ne pouvait du reste pas le faire. Quant aux déterminations de N.________ au Tribunal fédéral, le Ministère public n’expose pas non plus en quoi il y aurait un fait justificatif. Or il n’est pas possible, à ce stade, de dire que N.________ s’est limitée à affirmer ce qui était nécessaire et pertinent pour défendre sa cliente.</w:t>
      </w:r>
    </w:p>
    <w:p>
      <w:r>
        <w:rPr>
          <w:b/>
        </w:rPr>
        <w:t>E. 5</w:t>
      </w:r>
    </w:p>
    <w:p>
      <w:r>
        <w:t>Il résulte de ce qui précède que le recours doit être admis et l’ordonnance attaquée annulée, le dossier de la cause étant renvoyé au Ministère public de l’arrondissement de Lausanne pour qu’il ouvre une instruction pénale. Les frais de la procédure de recours, constitués en l'espèce du seul émolument d'arrêt, par 990 fr. (art. 422 al. 1 CPP et 20 al. 1 TFIP [Tarif des frais de procédure et indemnités en matière pénale du 28 septembre 2010 ; BLV 312.03.1]), seront laissés à la charge de l’Etat (art. 423 al. 1 CPP). Par ces motifs, la Chambre des recours pénale prononce : I. Le recours est admis. II. L’ordonnance du 7 novembre 2018 est annulée. III. Le dossier de la cause est renvoyé au Ministère public de l’arrondissement de Lausanne pour qu’il procède dans le sens des considérants. IV. Les frais d’arrêt, par 990 fr. (neuf cent nonante francs), sont laissés à la charge de l’Etat. V. L’arrêt est exécutoire. Le président :               Le greffier : Du Le présent arrêt, dont la rédaction a été approuvée à huis clos, est notifié, par l'envoi d'une copie complète, à : - M. A.M.________,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