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245 vom 26. März 2019</w:t>
      </w:r>
    </w:p>
    <w:p>
      <w:r>
        <w:t>VD Tribunal cantonal, 2019-03-26, FR</w:t>
      </w:r>
    </w:p>
    <w:p>
      <w:r>
        <w:rPr>
          <w:b/>
        </w:rPr>
        <w:t xml:space="preserve">Quelle: </w:t>
      </w:r>
      <w:r>
        <w:t>https://mcp.opencaselaw.ch/entscheid/vd_findinfo_D_cision___2019___245</w:t>
      </w:r>
    </w:p>
    <w:p>
      <w:r>
        <w:t>FR: VD_FINDINFO Décision / 2019 / 245 du 26 mars 2019</w:t>
      </w:r>
    </w:p>
    <w:p>
      <w:r>
        <w:t>IT: VD_FINDINFO Décision / 2019 / 245 del 26 marzo 2019</w:t>
      </w:r>
    </w:p>
    <w:p>
      <w:pPr>
        <w:pStyle w:val="Heading2"/>
      </w:pPr>
      <w:r>
        <w:t>Regeste</w:t>
      </w:r>
    </w:p>
    <w:p>
      <w:r>
        <w:t>RISQUE DE RÉCIDIVE, RISQUE DE COLLUSION | 212 al. 3 CPP (CH), 221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T.________ est recevable.</w:t>
      </w:r>
    </w:p>
    <w:p>
      <w:r>
        <w:rPr>
          <w:b/>
        </w:rPr>
        <w:t>E. 2</w:t>
      </w:r>
    </w:p>
    <w:p>
      <w:r>
        <w:t>Dans un grief dont on peine à comprendre s’il concerne l’ensemble de l’ordonnance attaquée ou seulement le passage qui traite du risque de réitération, le recourant reproche au Tribunal des mesures de contrainte d’avoir rendu l’exercice du recours particulièrement difficile en motivant sa décision pour l’essentiel par des renvois à ses précédentes ordonnances et à l’arrêt de la Chambre de céans du 27 août 2018. Il en conclut que son droit à l’obtention d’une décision motivée a été violé et que l’ordonnance attaquée doit dès lors être annulée.</w:t>
      </w:r>
    </w:p>
    <w:p>
      <w:r>
        <w:rPr>
          <w:b/>
        </w:rPr>
        <w:t>E. 2.1</w:t>
      </w:r>
    </w:p>
    <w:p>
      <w:r>
        <w:t>Le droit d'être entendu découlant de l'art. 29 al. 2 Cst. impose notamment à l'autorité l'obligation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134 I 83 consid. 4.1 ; ATF 133 III 439 consid. 3.3 et les arrêts cités). Dès lors que l'on peut discerner les motifs qui ont guidé la décision de l'autorité, le droit à une décision motivée est respecté même si la motivation présentée est erronée. En matière de détention provisoire, le renvoi à la motivation d’une précédente décision est admissible et ne constitue pas une violation du droit d'être entendu, en l'absence de circonstance justifiant une nouvelle appréciation de la situation (TF 1B_149/2010 du 1 er juin 2010 et les réf. cit.; CREP 17 mai 2016/320 ; CREP 27 mai 2015/366 consid. 2.3; CREP 5 août 2014/532 consid. 2.2; CREP 31 juillet 2014/527 consid. 2b; CREP 12 juin 2014/402 consid. 2).</w:t>
      </w:r>
    </w:p>
    <w:p>
      <w:r>
        <w:rPr>
          <w:b/>
        </w:rPr>
        <w:t>E. 2.2</w:t>
      </w:r>
    </w:p>
    <w:p>
      <w:r>
        <w:t>Dans ses déterminations du 28 février 2019 sur la requête de prolongation de la détention provisoire, le recourant ne soutenait pas que des faits nouveaux, survenus après la dernière ordonnance du Tribunal des mesures de contrainte, se seraient opposés à la prolongation de la détention provisoire. Le droit du recourant à l’obtention d’une décision motivée n’a dès lors pas été violé par le renvoi du Tribunal des mesures de contrainte, sur quelques points, aux motifs de ses précédentes ordonnances. Pour le surplus, le raisonnement du premier juge est parfaitement intelligible. En particulier, en indiquant dans ses considérants que les actes reprochés au recourant dans le cas du 1 er août 2018 dénotaient une violence particulière d’une gravité manifeste et en ajoutant qu’une expertise était en cours pour évaluer la dangerosité du recourant, le Tribunal des mesures de contrainte a exposé sur quels éléments il fondait sa décision et a pleinement satisfait à son obligation de motivation. Le recourant a du reste été capable d’entreprendre l’ordonnance du Tribunal des mesures de contrainte devant la chambre de céans. Le grief formel du recourant est donc mal fondé.</w:t>
      </w:r>
    </w:p>
    <w:p>
      <w:r>
        <w:rPr>
          <w:b/>
        </w:rPr>
        <w:t>E. 3.1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3.2</w:t>
      </w:r>
    </w:p>
    <w:p>
      <w:r>
        <w:t>Le recourant admet sa participation aux faits dénoncés par P.________, survenus le 1 er août 2018, même s’il conteste avoir personnellement infligé à la victime les sévices les plus graves. En outre, s'agissant des faits survenus le 21 juillet 2018, les témoignages recueillis font également peser de lourdes charges de contrainte sexuelle contre le recourant. C’est dès lors à raison qu’il ne conteste pas l’existence de forts soupçons de crime ou de délit.</w:t>
      </w:r>
    </w:p>
    <w:p>
      <w:r>
        <w:rPr>
          <w:b/>
        </w:rPr>
        <w:t>E. 4</w:t>
      </w:r>
    </w:p>
    <w:p>
      <w:r>
        <w:t>Le recourant conteste exclusivement les risques de collusion et de réitération retenus par le premier juge.</w:t>
      </w:r>
    </w:p>
    <w:p>
      <w:r>
        <w:rPr>
          <w:b/>
        </w:rPr>
        <w:t>E. 4.1.1</w:t>
      </w:r>
    </w:p>
    <w:p>
      <w:r>
        <w:t>L'art. 221 al. 1 let. b CPP permet le maintien en détention provisoire s'il est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14-15 ad art. 221 CPP ;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1B_79/2012 du 22 février 2012 consid. 5.1 ; TF 1B_55/2010 du 11 mars 2010 consid. 3.1 et les références citées).</w:t>
      </w:r>
    </w:p>
    <w:p>
      <w:r>
        <w:rPr>
          <w:b/>
        </w:rPr>
        <w:t>E. 4.1.2</w:t>
      </w:r>
    </w:p>
    <w:p>
      <w:r>
        <w:t>L'art. 221 al. 1 let. c CPP pose trois conditions pour admettre un risque de réitération.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consid. 2.6 et 2.7). Pour établir le pronostic de réitération,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(ATF 137 IV 84 consid. 3 s. ; TF 1B_400/2015 du 7 décembre 2015 consid. 3). Si une expertise psychiatrique est en cours au moment où il doit évaluer la dangerosité du prévenu pour statuer sur le placement ou le maintien de celui-ci en détention provisoire, le tribunal des mesures de contrainte doit, si cette mesure est nécessaire, demander à l’expert de lui adresser rapidement un bref rapport préliminaire, portant sur l’évaluation du risque de récidive, avant le dépôt du rapport d’expertise complet (TF 1B_567/2018 du 21 janvier 2019 consid. 4.3 et les réf. citées). Une telle mesure n’est toutefois pas nécessaire, et il n’y a dès lors pas lieu de demander un bref rapport préliminaire à l’expert, si le dossier contient déjà un autre rapport d’expertise, dont rien ne permet de mettre en doute la fiabilité.</w:t>
      </w:r>
    </w:p>
    <w:p>
      <w:r>
        <w:rPr>
          <w:b/>
        </w:rPr>
        <w:t>E. 4.2.1</w:t>
      </w:r>
    </w:p>
    <w:p>
      <w:r>
        <w:t>En l'espèce, pour retenir un risque de collusion, le Ministère public a fait valoir, à l’appui de sa requête de prolongation de la détention provisoire, qu’il devait encore entendre « plusieurs personnes, dont E.________ », sans plus de précisions. Avec le recourant, il faut admettre que, s’il existait un risque que celui-ci exerce des pressions sur E.________, ce risque se serait déjà réalisé entre le 22 juillet et le 1 er août 2018, laps de temps suivant l’audition du recourant par les autorités pénales françaises et durant lequel il était libre. Pour le surplus, la motivation de la demande du Ministère public est trop vague pour qu’un risque de collusion concret puisse être constaté.</w:t>
      </w:r>
    </w:p>
    <w:p>
      <w:r>
        <w:rPr>
          <w:b/>
        </w:rPr>
        <w:t>E. 4.2.2</w:t>
      </w:r>
    </w:p>
    <w:p>
      <w:r>
        <w:t>S'agissant en revanche, du risque de récidive, il convient de relever que dans le cadre de l’enquête préliminaire ouverte en France après les faits du 21 juillet 2018, le recourant a fait l’objet d’une expertise psychiatrique confiée au Dr [...], médecin psychiatre, expert près la Cour d’appel de Chambéry, qui a rendu son rapport le 22 juillet 2018 (P 16). Ce rapport, contre lequel le recourant n’articule aucun grief, suffit amplement à l’évaluation du risque de récidive dans le cadre de l’examen d’une requête de prolongation de la détention provisoire. Rien n’indique qu’un bref rapport préliminaire de l’experte suisse à l’œuvre actuellement serait plus fiable. C’est dès lors à bon droit que le Tribunal des mesures de contrainte n’a pas demandé un tel rapport à l’experte suisse avant de statuer. Contrairement à ce que le recourant soutient, le rapport d’expertise du 22 juillet 2018 ne démontre pas qu’il ne présenterait aucun risque de récidive nécessitant son maintien en détention. Certes, l’expert y indique que le recourant ne présente aucune maladie psychotique, ni de déréalité, ni de maladie bipolaire, ni un état d’élation pathologique, ni d’hyperactivité (P 16, p. 6). Il souligne bien aussi qu’aucune entité pathologique ni immaturité n’a été identifiée chez lui (P 16, p. 6). Mais il précise que l’infraction reprochée au recourant est en rapport avec une déviance sexuelle qui rentre dans le cadre d’une personnalité borderline (P 16, p. 7) et il recommande que le recourant, s’il est reconnu coupable des faits qui lui sont reprochés, se voie ordonner un suivi socio-judiciaire (P 16, p. 8), peine qui consiste, selon la définition qu’en donne l’art. 131-36-1 du Code pénal français, en des mesures de surveillance et d'assistance destinées à prévenir la récidive. L’expert français a donc bien constaté, contrairement à ce que soutient le recourant, que celui-ci présente un risque de récidive. Ce risque paraît d’autant plus élevé que le recourant semble avoir réitéré, en participant à de graves actes de violence, moins de dix jours après avoir été gardé à vue en France et examiné par l’expert. Compte tenu des biens juridiques menacés, ce risque est d’une intensité suffisante pour justifier une prolongation de la détention provisoire.</w:t>
      </w:r>
    </w:p>
    <w:p>
      <w:r>
        <w:rPr>
          <w:b/>
        </w:rPr>
        <w:t>E. 4.2.3</w:t>
      </w:r>
    </w:p>
    <w:p>
      <w:r>
        <w:t>Compte tenu de la peine encourue par le recourant s’il était reconnu coupable des faits qui lui sont reprochés, sa détention, qui aura duré dix mois à la fin de la prolongation maximale, reste conforme au principe de proportionnalité, ce que le recourant ne conteste au demeurant pas (art. 212 al. 3 CPP).</w:t>
      </w:r>
    </w:p>
    <w:p>
      <w:r>
        <w:rPr>
          <w:b/>
        </w:rPr>
        <w:t>E. 5</w:t>
      </w:r>
    </w:p>
    <w:p>
      <w:r>
        <w:t>En définitive, le recours, manifestement mal fondé, doit être rejeté sans échange d'écriture (art. 390 al. 2 CPP) et l'ordonnance entreprise confirmée. Les frais de la procédure de recours, constitués en l’espèce de l’émolument d'arrêt, par 1'100 fr. (art. 20 al. 1 TFIP [Tarif des frais de procédure et indemnités en matière pénale du 28 septembre 2010; BLV 312.03.1]), et des frais imputables à la défense d’office (art. 422 al. 1 et 2 let. a CPP), fixés à 540 fr., plus la TVA par 41 fr. 60, soit à 581 fr. 60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5 mars 2019 est confirmée. III. L’indemnité allouée au défenseur d’office de T.________ est fixée à 581 fr. 60 (cinq cent huitante et un francs et soixante centimes). IV. Les frais de la procédure de recours, par 1'100 fr. (mille cent francs), ainsi que l’indemnité due au défenseur d’office de T.________, par 581 fr. 60 (cinq cent huitante et un francs et soixante centimes), sont mis à la charge de ce dernier. V. Le remboursement à l’Etat de l’indemnité allouée au chiffre III ci-dessus ne sera exigible que pour autant que la situation financière de T.________ le permette. VI. L’arrêt est exécutoire. Le président :               La greffière : Du Le présent arrêt, dont la rédaction a été approuvée à huis clos, est notifié, par l'envoi d'une copie complète, à : - Me Ludovic Tirelli, avocat (pour T.________), - Ministère public central, et communiqué à : - Mme la Présidente du Tribunal des mesures de contrainte, - Mme la Procureure de l’arrondissement du Nord vaudois, - Me Julie Zryd, avocate (pour P.________),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