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236 vom 21. März 2019</w:t>
      </w:r>
    </w:p>
    <w:p>
      <w:r>
        <w:t>VD Tribunal cantonal, 2019-03-21, FR</w:t>
      </w:r>
    </w:p>
    <w:p>
      <w:r>
        <w:rPr>
          <w:b/>
        </w:rPr>
        <w:t xml:space="preserve">Quelle: </w:t>
      </w:r>
      <w:r>
        <w:t>https://mcp.opencaselaw.ch/entscheid/vd_findinfo_D_cision___2019___236</w:t>
      </w:r>
    </w:p>
    <w:p>
      <w:r>
        <w:t>FR: VD_FINDINFO Décision / 2019 / 236 du 21 mars 2019</w:t>
      </w:r>
    </w:p>
    <w:p>
      <w:r>
        <w:t>IT: VD_FINDINFO Décision / 2019 / 236 del 21 marzo 2019</w:t>
      </w:r>
    </w:p>
    <w:p>
      <w:pPr>
        <w:pStyle w:val="Heading2"/>
      </w:pPr>
      <w:r>
        <w:t>Regeste</w:t>
      </w:r>
    </w:p>
    <w:p>
      <w:r>
        <w:t>DÉTENTION PROVISOIRE, SOUPÇON, RISQUE DE RÉCIDIVE | 221 al. 1 let. c CPP (CH), 221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de I.________ est recevable.</w:t>
      </w:r>
    </w:p>
    <w:p>
      <w:r>
        <w:rPr>
          <w:b/>
        </w:rPr>
        <w:t>E. 2</w:t>
      </w:r>
    </w:p>
    <w:p>
      <w:r>
        <w:t>En vertu de l’art. 228 al. 1 CPP, le prévenu peut présenter en tout temps une demande de libération de la détention provisoire. Cette demande doit être admise si les conditions de la détention provisoire ne sont pas ou plus remplies.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Le recourant fait en premier lieu valoir que l'instruction n'aurait pas été formellement étendue aux infractions dénoncées dans la plainte de Z.________ du 23 novembre 2018 et à celle de délit contre la loi fédérale sur les stupéfiants. Le procès-verbal des opérations ne fait certes pas mention que l'instruction a été étendue à ces infractions. Cela étant, le prévenu a été arrêté et à nouveau détenu après avoir été arrêté par la police en possession de stupéfiants. Par ailleurs, lors de son audition par le Ministère public le 7 décembre 2018, le recourant a été informé qu'une instruction avait été ouverte à son encontre pour brigandage, trafic et consommation de stupéfiants, menaces et tentative de contrainte à l'encontre de Z.________ (cf. PV aud. du 7 décembre 2018, l. 18 à 22). En outre, l'ordonnance du Tribunal des mesures de contrainte du 7 décembre 2018 – contre laquelle I.________ n'a pas recouru – mentionnait qu'une instruction complémentaire avait été ouverte à son encontre pour menaces, tentative de contrainte et délit contre la loi fédérale sur les stupéfiants en raison des faits en cause, mentionnés expressément, et retient l'existence de soupçons suffisant à l'égard de ces infractions. Le recourant ne saurait dès lors se prévaloir d'une ambiguïté à cet égard. Il ne tire du reste aucune conclusion de ce grief, qui est mal fondé.</w:t>
      </w:r>
    </w:p>
    <w:p>
      <w:r>
        <w:rPr>
          <w:b/>
        </w:rPr>
        <w:t>E. 3.2</w:t>
      </w:r>
    </w:p>
    <w:p>
      <w:r>
        <w:t>Le recourant invoque ensuite l'insuffisance de soupçons en relation avec les nouvelles infractions – précitées – qui lui sont reprochées.</w:t>
      </w:r>
    </w:p>
    <w:p>
      <w:r>
        <w:rPr>
          <w:b/>
        </w:rPr>
        <w:t>E. 3.2.1</w:t>
      </w:r>
    </w:p>
    <w:p>
      <w:r>
        <w:t>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ATF 116 la 143 consid. 3c; TF 1B_423/2010 du 17 janvier 2011 consid. 4.1; Schmocker, op. cit., n. 8 ad art. 221 CPP). A l'instar du juge du séquestre, le juge de la détention n'est toutefois pas tenu, à ce stade de la procédure, de résoudre des questions juridiques complexes (ATF 141 IV 360 consid. 3.2;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116 la 413 consid. 3c; TF 1B_423/2010 du 17 janvier 2011 consid. 4.1).</w:t>
      </w:r>
    </w:p>
    <w:p>
      <w:r>
        <w:rPr>
          <w:b/>
        </w:rPr>
        <w:t>E. 3.2.2</w:t>
      </w:r>
    </w:p>
    <w:p>
      <w:r>
        <w:t>Le recourant s'en prend premièrement aux faits dénoncés par Z.________. Il admet uniquement l'avoir menacé sur Snapchat et invoque, pour le surplus, que la tante du prénommé n'aurait pas confirmé la plainte du 23 novembre 2018, qu'aucune mesure d'instruction n'aurait été mise en œuvre sur ce volet de l'affaire et qu'à ce stade, les soupçons auraient dû s'être renforcés, ce qui ne serait pas le cas. En l'espèce, il ressort du dossier que M.________, tante de Z.________, a été entendue par la police en qualité de personne appelée à donner des renseignements le 26 novembre 2018. Il ressort notamment de cette audition que le prénommé était recherché par des individus, qui avaient demandé à M.________ où habitait Z.________ et qu'elle avait toujours refusé de le leur dire. Le 15 novembre 2018, alors qu'elle était dans le quartier de [...] avec une amie, deux personnes étaient venues vers elle pour lui poser la même question en lui disant que si elle ne répondait pas, ils allaient la "buter". Elle avait alors à nouveau refusé de répondre puis avait reçu une claque, mais ne souhaitait pas déposer plainte par peur de représailles. S'il est vrai que ces déclarations ne mettent pas directement le recourant en cause, elles accréditent la version du plaignant, soit qu'il était recherché par des personnes du quartier du recourant – et plus particulièrement par Q.________, qui est accusé d'être complice de I.________ s'agissant du brigandage qualifié commis au préjudice de X.________ et du trafic de stupéfiants – et que sa famille est elle-même prise à partie. A cela s'ajoute le message envoyé au plaignant par le recourant sur Snapchat, mentionnant notamment (sic) : " je te percer ta mère fils de pute tu va voir. Tu va charbonner me dois 1500bal sache le à cause de ta gueule de fdp là je fais que payer les factures (…) chaque fois que je te trouve je vais te carotte (…) Tu va boire ma pise fdp tu Véra. Tu va aller carotte pour moi mon blk (…) chaque fois que on se croise je vais te faire une dingurieee (…) sache que tu va ramasser si tu me donne pas le bif ". Ce message est très explicite. Il contient des menaces de mort et une tentative de contrainte portant sur 1'500 francs. Si le recourant minimise cet envoi et l'explique par son énervement, il ne conteste pas en être l'auteur. Il s'ensuit que les soupçons portant sur les infractions de menaces et de tentative de contrainte sont suffisants.</w:t>
      </w:r>
    </w:p>
    <w:p>
      <w:r>
        <w:rPr>
          <w:b/>
        </w:rPr>
        <w:t>E. 3.2.3</w:t>
      </w:r>
    </w:p>
    <w:p>
      <w:r>
        <w:t>En second lieu, le recourant conteste l'existence de soupçons suffisants s'agissant du trafic de stupéfiants qui lui est imputé. Il admet avoir été l'intermédiaire dans des transactions en prétendant avoir pensé que ce n'était pas illégal. Il se prévaut en outre du fait que la perquisition effectuée à son domicile n'aurait rien donné et que les personnes entendues récemment ne le mettraient pas en cause. En l'occurrence, s'il est vrai que les autres personnes impliquées dans le trafic de stupéfiants présumé ne mettent pas en cause le recourant, et du reste nient elles-mêmes être impliquées, elles n'expliquent pas les SMS, respectivement les conversations Snapchat ambigus échangés avec lui (cf. PV d'audition de Q.________ du 7 décembre 2018, R9; PV d'audition de F.________ du 24 janvier 2019, R9). Cela étant, le recourant ne s'explique pas de façon crédible, ou refuse de simplement de s'expliquer sur les échanges de conversations que la surveillance rétroactive de ses communications a permis de révéler et qui suggèrent clairement qu'il trafiquait des stupéfiants (cf. PV d'audition de I.________ du 11 février 2019, R.6 notamment, ou encore PV d'audition de Q.________ du 7 février 2019, R.9 notamment). A cela s'ajoute encore le fait que, le 4 décembre 2018, d'importantes quantités de drogue ont été trouvées dans les poubelles de l'immeuble alors que les deux prénommés venaient de fuir à la vue de la police. Or, on comprend mal pour quelle raison le recourant aurait pris la fuite s'il n'avait rien à se reprocher, comme il le prétend, et il était d'ailleurs lui-même en possession d'une quantité non négligeable de haschisch lorsqu'il a été appréhendé. Il y a donc également lieu de retenir l'existence de soupçons suffisants de trafic de drogue à l'encontre de I.________. Pour le surplus, c'est en vain que ce dernier soutient que l'infraction à la loi fédérale sur les stupéfiants qui lui est reprochée ne saurait être considéré comme suffisamment grave pour justifier sa détention. En effet, celui-ci perd de vue qu'il lui est en premier lieu reproché d'avoir commis un brigandage qualifié, avec une arme dangereuse, qui est l'une des infractions les plus graves prévues par le Code pénal. Viennent ensuite les graves menaces et la tentative de contrainte à l'égard de Z.________, qui sont également des infractions relativement graves.</w:t>
      </w:r>
    </w:p>
    <w:p>
      <w:r>
        <w:rPr>
          <w:b/>
        </w:rPr>
        <w:t>E. 3.3</w:t>
      </w:r>
    </w:p>
    <w:p>
      <w:r>
        <w:t>Le recourant conteste l'existence d'un risque de réitération. Il soutient que la récidive en cours d'enquête concerne des infractions différentes, sans mise en danger, et qu'on ne saurait conclure à une participation active et importante de sa part dans les agressions subies par Z.________ et sa tante. Enfin, son QI ne lui permettrait pas d'être à la tête d'un trafic de stupéfiants.</w:t>
      </w:r>
    </w:p>
    <w:p>
      <w:r>
        <w:rPr>
          <w:b/>
        </w:rPr>
        <w:t>E. 3.3.1</w:t>
      </w:r>
    </w:p>
    <w:p>
      <w:r>
        <w:t>Selon l'art. 221 al. 1 let. c CPP, la détention provisoire peut être ordonnée lorsqu'il y a sérieusement lieu de craindre que le prévenu compromette sérieusement la sécurité d'autrui par des crimes ou des délits graves après avoir déjà commis des infractions du même genre.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TF 1B_206/2018 du 23 mai 2018 consid. 3.1.2). Un risque de réitération peut se fonder sur les infractions faisant l'objet de la procédure pénale en cours, si le prévenu est fortement soupçonné – avec une probabilité confinant à la certitude – de les avoir commises (ATF 143 IV 9 consid. 2.3.1; ATF 137 IV 84 consid. 3.2, JdT 2011 IV 325). La gravité de l'infraction dépend, outre de la peine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TF 1B_238/2012 du 16 mai 2012 consid. 2.4.2).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 TF 1B_206/2018 du 23 mai 2018 consid. 3.1).</w:t>
      </w:r>
    </w:p>
    <w:p>
      <w:r>
        <w:rPr>
          <w:b/>
        </w:rPr>
        <w:t>E. 3.3.2</w:t>
      </w:r>
    </w:p>
    <w:p>
      <w:r>
        <w:t>En l'espèce, les arguments du recourant ne sont pas pertinents. Celui-ci n'a pas hésité à commettre de nouveaux délits alors qu'une instruction – ensuite d'une infraction grave, dirigée contre l'intégrité physique d'autrui, dénotant déjà un certain potentiel de dangerosité – était en cours contre lui, qu'il avait été détenu durant près de trois mois et qu'il avait été libéré au bénéfice de mesures de substitution. Cela étant, comme l'a relevé à juste titre le Tribunal des mesures de contrainte, la prise de conscience est inexistante et les regrets exprimés apparaissent de circonstance. Il importe dès lors peu que les infractions commises par l'intéressé ne soient pas les mêmes. L'expert psychiatre a d'ailleurs conclu à un risque de récidive élevé pour des actes de même nature ou de petite délinquance, en précisant que l'intéressé avait tendance à fonctionner dans une logique de profit immédiat, quelles qu'en soient les conséquences. Dans ces circonstances, le pronostic est résolument défavorable et le risque de réitération, manifestement réalisé, justifie la détention provisoire.</w:t>
      </w:r>
    </w:p>
    <w:p>
      <w:r>
        <w:rPr>
          <w:b/>
        </w:rPr>
        <w:t>E. 3.4.1</w:t>
      </w:r>
    </w:p>
    <w:p>
      <w:r>
        <w:t>La proportionnalité de la détention provisoire (art. 212 al. 3 CPP) doit être examinée au regard de l’ensemble des circonstances concrètes du cas d’espèce (ATF 133 I 168 consid. 4.1 et les arrêts cités);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le fait que la peine encourue puisse être assortie du sursis, total ou partiel, n'est pas déterminant sous l'angle de la proportionnalité (ATF 133 I 270 consid. 3.4.2).</w:t>
      </w:r>
    </w:p>
    <w:p>
      <w:r>
        <w:rPr>
          <w:b/>
        </w:rPr>
        <w:t>E. 3.4.2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w:t>
      </w:r>
    </w:p>
    <w:p>
      <w:r>
        <w:rPr>
          <w:b/>
        </w:rPr>
        <w:t>E. 3.4.3</w:t>
      </w:r>
    </w:p>
    <w:p>
      <w:r>
        <w:t>En l’espèce, les faits reprochés au recourant ne sont pas anodins et celui-ci s'expose à une peine d’une durée nettement supérieure à celle de la détention provisoire qu’il aura subie au terme de la prolongation accordée. En effet, le brigandage aggravé avec une arme dangereuse est passible d’une peine privative de liberté minimale d'un an (art. 140 ch. 2 CP [Code pénal du 21 décembre 1937; RS 311.0]), sans compter le concours d'infractions potentiel. Le principe de la proportionnalité de la détention provisoire demeure dès lors largement respecté. Pour le surplus, on ne voit pas quelle mesure de substitution – que le recourant ne demande du reste pas – serait de nature à endiguer le risque de réitération, vu l'échec des mesures précédemment mises en œuvre.</w:t>
      </w:r>
    </w:p>
    <w:p>
      <w:r>
        <w:rPr>
          <w:b/>
        </w:rPr>
        <w:t>E. 4</w:t>
      </w:r>
    </w:p>
    <w:p>
      <w:r>
        <w:t>mars 2019 confirmée. Les frais de la procédure de recours, constitués en l’espèce de l’émolument d'arrêt, par 1'320 fr. (art. 20 al. 1 TFIP [tarif des frais de procédure et indemnités en matière pénale du 28 septembre 2010; BLV 312.03.1]) et des frais imputables à la défense d’office (art. 422 al. 1 et 2 let. a CPP), fixés à 360 fr., plus la TVA par 27 fr. 70, soit à 387 fr. 70 au total, seront mis à la charge de I.________, qui succombe (art. 428 al. 1 CPP). I.________ ne sera tenu de rembourser à l’État de Vaud l’indemnité allouée à son défenseur d’office que pour autant que sa situation financière le permette (art. 135 al. 4 CPP). Par ces motifs, la Chambre des recours pénale prononce : I. Le recours est rejeté. II. L'ordonnance du 4 mars 2019 est confirmée. III. L’indemnité allouée au défenseur de I.________ est fixée à 387 fr. 70 (trois cent huitante-sept francs et septante centimes). IV. Les frais d’arrêt, par 1'320 fr. (mille trois cent vingt francs), ainsi que l’indemnité due au défenseur d’office de I.________, par 387 fr. 70 (trois cent huitante-sept francs et septante centimes), sont mis à la charge de ce dernier. V. Le remboursement à l’Etat de l’indemnité allouée au chiffre III ci-dessus ne sera exigible que pour autant que la situation financière de I.________ le permette. VI. L’arrêt est exécutoire. Le président :               Le greffier : Du Le présent arrêt, dont la rédaction a été approuvée à huis clos, est notifié, par l'envoi d'une copie complète, à : - Me Nadia Calabria, avocate (pour I.________), - Ministère public central, et communiqué à : ‑ Mme la Présidente du Tribunal des mesures de contrainte, - M. le Procureur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