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231 vom 21. März 2019</w:t>
      </w:r>
    </w:p>
    <w:p>
      <w:r>
        <w:t>VD Tribunal cantonal, 2019-03-21, FR</w:t>
      </w:r>
    </w:p>
    <w:p>
      <w:r>
        <w:rPr>
          <w:b/>
        </w:rPr>
        <w:t xml:space="preserve">Quelle: </w:t>
      </w:r>
      <w:r>
        <w:t>https://mcp.opencaselaw.ch/entscheid/vd_findinfo_D_cision___2019___231</w:t>
      </w:r>
    </w:p>
    <w:p>
      <w:r>
        <w:t>FR: VD_FINDINFO Décision / 2019 / 231 du 21 mars 2019</w:t>
      </w:r>
    </w:p>
    <w:p>
      <w:r>
        <w:t>IT: VD_FINDINFO Décision / 2019 / 231 del 21 marzo 2019</w:t>
      </w:r>
    </w:p>
    <w:p>
      <w:pPr>
        <w:pStyle w:val="Heading2"/>
      </w:pPr>
      <w:r>
        <w:t>Regeste</w:t>
      </w:r>
    </w:p>
    <w:p>
      <w:r>
        <w:t>MESURE DE SUBSTITUTION À LA DÉTENTION, RISQUE DE COLLUSION, DÉTENTION POUR DES MOTIFS DE SÛRETÉ | 221 al. 1 let. b CPP (CH), 237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Dans son arrêt du 7 mars 2019, le Tribunal fédéral a relevé que le prévenu ne contestait pas, à juste titre, l’existence de soupçons suffisants de culpabilité à son encontre et la durée de la détention avant jugement déjà subie eu égard aux lourdes charges pesant sur lui. La Haute Cour a toutefois considéré que les circonstances d’espèce ne permettaient pas de retenir l’existence d’un risque de fuite concret, eu égard en particulier à l’importance des attaches du prévenu avec la Suisse. Celui-ci ne disposait en effet que de la nationalité de cet Etat, ne pourrait pas obtenir de papiers auprès d’autorités étrangères et serait contraint de vivre dans la clandestinité en cas de départ pour un autre pays, situation guère envisageable autrement qu’à court terme pour une personne âgée de 81 ans et dont l’état de santé requérait la prise régulière de différents médicaments. En outre, le prévenu ne disposait d’aucune autre ressource financière que sa rente AVS et n’avait pas d’autre contact à l’étranger que sa fille en France, pays qui serait susceptible de l’extrader. Enfin, une éventuelle absence aux audiences de jugement ne lui permettrait pas de défendre la thèse soutenue à ce jour, selon laquelle sa fille n’aurait pas participé à l’ensemble des actes qu’il avait commis, de sorte qu’il ne se trouvait pas dans une situation où il n’avait plus rien à perdre. Cela étant, constatant que le Ministère public avait également invoqué l’existence d’un risque de collusion dans sa requête de placement en détention pour des motifs de sûreté et dans son recours contre l’ordonnance du Tribunal des mesures de contrainte, sur lequel la Chambre des recours pénale ne s’était toutefois pas prononcée dès lors qu’elle avait retenu l’existence d’un risque de fuite, le Tribunal fédéral a renvoyé la cause à la Cour de céans pour qu’elle examine si un risque de collusion existait et, le cas échéant, pour qu’elle se prononce sur l’existence de mesures de substitution permettant de le pallier.</w:t>
      </w:r>
    </w:p>
    <w:p>
      <w:r>
        <w:rPr>
          <w:b/>
        </w:rPr>
        <w:t>E. 3</w:t>
      </w:r>
    </w:p>
    <w:p>
      <w:r>
        <w:t>Il convient ainsi d’examiner si le risque de collusion peut être retenu.</w:t>
      </w:r>
    </w:p>
    <w:p>
      <w:r>
        <w:rPr>
          <w:b/>
        </w:rPr>
        <w:t>E. 3.1</w:t>
      </w:r>
    </w:p>
    <w:p>
      <w:r>
        <w:t>Selon l’art. 221 al. 1 let. b CPP (Code de procédure pénale suisse du 5 octobre 2007 ; RS 312.0),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précité consid. 4.2 ; ATF 132 I 21 consid. 3.2 et les références citées ; TF 1B_243/2018 du 5 juin 2018 consid. 3.1). Si c’est au début de la procédure que le risque de collusion est le plus grand, il est toutefois possible de le retenir alors même que l’instruction est terminée, notamment lorsqu’il existe des indices concrets que le prévenu, une fois remis en liberté, cherche à entraver l’action pénale en tentant par exemple d’influencer des témoins ou des complices (Piquerez, Traité de procédure pénale suisse, 2 e éd., Genève 2006, n. 849, p. 543 ; Schmocker, op. cit., n. 16 ad art. 221 CPP). Plus l'instruction se trouve à un stade avancé et les faits sont établis avec précision, plus les exigences relatives à la preuve de l'existence d'un risque de collusion sont élevées (ATF 137 IV 122 précité consid. 4.2 ; ATF 132 I 21 précité ; TF 1B_243/2018 précité). Le risque de collusion peut ainsi perdurer au stade de la première instance, avant les débats, en particulier dans la perspective d’une audition de personnes sur la base de l’art. 343 CPP (TF 1B_388/2012 du 19 juillet 2012 ; Moreillon/Parein-Reymond, Code de procédure pénale, Petit commentaire, 2 e éd., Bâle 2016, n. 32 ad art. 221 CPP).</w:t>
      </w:r>
    </w:p>
    <w:p>
      <w:r>
        <w:rPr>
          <w:b/>
        </w:rPr>
        <w:t>E. 3.2.1</w:t>
      </w:r>
    </w:p>
    <w:p>
      <w:r>
        <w:t>Le Ministère public soutient notamment que le risque de collusion existerait, dans la mesure où, tout au long de l’enquête, les deux prévenus auraient fait des fausses déclarations quant à la réelle implication de T.________ dans l’ensemble des faits décrits dans l’acte d’accusation. La Procureure a relevé que T.________ avait refusé de répondre aux questions qui allaient lui être posées lors de son audition récapitulative du 10 octobre 2018, celle-ci ne s’étant en particulier jamais exprimée sur les rapports d’autopsie du 8 décembre 2017 et de la police de sûreté du 5 octobre 2018. Il était dès lors manifeste qu’elle serait réentendue aux débats sur les faits qui lui étaient reprochés, mais également sur ces rapports, de sorte qu’il était à craindre que, si A.R.________ venait à être libéré, les prévenus, dont la version des faits avait toujours été contradictoire, accordent leurs propos en vue de l’audience à venir.</w:t>
      </w:r>
    </w:p>
    <w:p>
      <w:r>
        <w:rPr>
          <w:b/>
        </w:rPr>
        <w:t>E. 3.2.2</w:t>
      </w:r>
    </w:p>
    <w:p>
      <w:r>
        <w:t>Dans son ordonnance du 22 janvier 2019, le Tribunal des mesures de contrainte, invoquant un arrêt 1B_28/2018 du 12 février 2018, dans lequel le Tribunal fédéral avait considéré que le fait que des contradictions existent entre les versions des différents protagonistes était un risque inhérent à toute enquête et ne suffisait pas pour retenir l’existence d’un risque de collusion justifiant un maintien en détention, en particulier quand l’instruction n’était plus à un stade initial, a estimé que le risque de collusion n’existait plus, notamment depuis le dépôt de l’acte d’accusation. Cette autorité a retenu que, bien que la version des faits du prévenu divergeât de celle du Ministère public, cet élément n’était pas suffisant pour faire admettre l’existence d’un risque de collusion concret dès lors qu’il n’y avait plus aucun acte d’instruction à mener que l’intéressé serait susceptible d’influencer. Dans ses déterminations du 18 mars 2019, le prévenu a souligné que la procédure se trouvait à un stade très avancé, T.________ et lui ayant a priori connaissance de l’ensemble du dossier, de sorte que son maintien en détention pour ce motif n’aurait aucun sens, puisque sa fille serait déjà parfaitement à même de calquer ses déclarations sur les siennes. Il a en outre indiqué qu’il n’aurait aucun intérêt à faire pression sur sa co-prévenue pour qu’elle change sa version des faits, qu’il n’y aurait ni victime, ni témoin sur lesquels faire pression et que, vu l’avancement de la procédure, il n’y aurait aucune mesure d’instruction à mettre en œuvre sur laquelle il pourrait avoir une influence.</w:t>
      </w:r>
    </w:p>
    <w:p>
      <w:r>
        <w:rPr>
          <w:b/>
        </w:rPr>
        <w:t>E. 3.3</w:t>
      </w:r>
    </w:p>
    <w:p>
      <w:r>
        <w:t>Comme l’a relevé le Tribunal fédéral, le renvoi en jugement des deux prévenus ne permet pas d’emblée d’exclure tout danger de collusion, eu égard en particulier aux liens familiaux très forts qui les unissent. A cet égard, la Haute Cour a précisé que la configuration examinée dans l’arrêt 1B_28/2018, rendu le 12 février 2018 dans le cadre de la procédure dirigée contre T.________, était différente de celle qui prévalait en l’espèce, puisque le prévenu se trouvait alors en détention, ce qui constituait une mesure supplémentaire propre à éviter ce risque, de sorte qu’il ne pouvait pas être fait directement référence à cet arrêt pour écarter un éventuel danger de collusion dans la présente cause. En l’espèce, quand bien même la procédure se trouve à un stade très avancé, le risque de collusion demeure. En effet, le prévenu n’a eu de cesse, depuis son incarcération, de tenter de prendre contact avec sa fille et d’essayer de parler de la procédure ouverte à leur encontre à d’autres membres de sa famille, quand bien même la Procureure le lui avait interdit à de multiples reprises. Il ressort ainsi du dossier qu’au mois de juin 2017, le prévenu a tenté d’adresser un courrier à l’époux de T.________, également prévenu dans cette affaire, qu’il a parlé de l’enquête en cours dans un courrier du mois de juillet 2017 adressé à son autre fille D.________, qu’il a tenté de prendre contact avec sa co-prévenue au mois de septembre 2017, qu’au mois de décembre 2017, il a parlé de l’affaire dirigée contre lui dans des courriers adressés à sa sœur et à son fils, qu’il a écrit trois courriers à sa co-prévenue aux mois de janvier, février et mars 2018, lui parlant même de l’enquête en cours dans sa missive du mois de février, qu’il a demandé à sa sœur, dans un courrier du 5 avril 2018 adressé à celle-ci, de transmettre des dessins à sa co-prévenue, lui fournissant même l’adresse électronique de cette dernière pour ce faire, que le 10 septembre 2018, il a parlé de son acolyte T.________ et des témoins entendus dans le cadre de l’affaire dirigée contre lui dans un courrier adressé à D.________, qu’il a tenté de parler de l’enquête à cette dernière et à sa sœur dans ses lettres des 18 et 22 octobre 2018, et qu’il a encore mentionné l’affaire en cours dans un courrier adressé à sa sœur le 27 décembre 2018. La transmission de l’ensemble de ces courriers a ainsi dû être refusée par la Procureure, eu égard à leur contenu et/ou à leurs destinataires. Au vu de ce qui précède, il est dès lors fortement à craindre que le prévenu mette à profit sa liberté pour tenter d’entrer en contact à tout le moins avec sa fille T.________, dans le but d’écarter les contradictions dans leurs déclarations relevées par le Ministère public pour étayer les chefs de prévention retenus, notamment à l’encontre de T.________. Ce risque est d’autant plus concret que celle-ci a refusé, jusqu’à présent, de répondre aux questions qui allaient lui être posées lors de son audition récapitulative du 10 octobre 2018 et ne s’est dès lors jamais exprimée, en particulier, sur le rapport d’autopsie du 8 décembre 2017, dont les conclusions laissent le débat ouvert quant à la cause et au moment du décès de la victime, et sur le rapport de la police de sûreté du 5 octobre 2018, de sorte qu’elle devra être réentendue aux débats sur les faits qui lui sont reprochés, mais aussi sur ces rapports. La Cour de céans considère dès lors, à l’instar du Ministère public, que le risque de collusion demeure en l’état réel et concret et justifie le placement du prévenu en détention pour des motifs de sûreté.</w:t>
      </w:r>
    </w:p>
    <w:p>
      <w:r>
        <w:rPr>
          <w:b/>
        </w:rPr>
        <w:t>E. 4.1</w:t>
      </w:r>
    </w:p>
    <w:p>
      <w:r>
        <w:t>Dans son recours auprès du Tribunal fédéral, auquel il renvoie dans ses déterminations du 18 mars 2019, A.R.________ a soutenu que des mesures de substitution, sous la forme d’une obligation de respecter une interdiction stricte de contact avec T.________ et d’une interdiction de s’approcher à moins d’un kilomètre du domicile de celle-ci, seraient à même de parer au risque de collusion, si celui-ci devait être retenu.</w:t>
      </w:r>
    </w:p>
    <w:p>
      <w:r>
        <w:rPr>
          <w:b/>
        </w:rPr>
        <w:t>E. 4.2</w:t>
      </w:r>
    </w:p>
    <w:p>
      <w:r>
        <w:t>Conformément au principe de la proportionnalité (cf. art. 36 al. 3 Cst. [Constitution fédérale de la Confédération suisse du 18 avril 1999 ; RS 101];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(Schmocker, op. cit., n. 2 ad art. 237 CPP ; ATF 142 IV 367 consid. 2.1, SJ 2017 I 233 ; ATF 133 I 270 consid. 2.2 ; TF 1B_165/2012 du 12 avril 2012 consid. 2.3).</w:t>
      </w:r>
    </w:p>
    <w:p>
      <w:r>
        <w:rPr>
          <w:b/>
        </w:rPr>
        <w:t>E. 4.3</w:t>
      </w:r>
    </w:p>
    <w:p>
      <w:r>
        <w:t>En l’occurrence, force est de constater que les mesures proposées par le prévenu ne sont pas propres à pallier efficacement le risque de collusion constaté et qu’aucune autre mesure de substitution n’est susceptible de le prévenir réellement. En effet, au vu de la détermination dont a fait preuve le prévenu depuis son incarcération pour entrer en contact avec sa fille T.________, montrant qu’il était prêt à tout en faisant fi des interdictions qui lui étaient signifiées par le Ministère public, de simples mesures d’interdiction d’entretenir des relations avec celle-ci ou de s’approcher de son domicile ne sont, à l’évidence, pas suffisantes pour l’empêcher de chercher à la contacter avant la tenue des débats.</w:t>
      </w:r>
    </w:p>
    <w:p>
      <w:r>
        <w:rPr>
          <w:b/>
        </w:rPr>
        <w:t>E. 5</w:t>
      </w:r>
    </w:p>
    <w:p>
      <w:r>
        <w:t>juin 2019, n’ayant à juste titre pas été remises en cause, il s’ensuit que les conditions de l’art. 221 CPP sont réunies et que la détention pour des motifs de sûreté de A.R.________ doit être ordonnée. Compte tenu des débats du Tribunal criminel de l’arrondissement de l’Est vaudois, fixés du 27 au 29 mai 2019, elle sera ordonnée jusqu’au 5 juin 2019 au plus tard. Il résulte de ce qui précède que le recours du Ministère public doit être admis et l’ordonnance entreprise réformée dans le sens des considérants qui précèdent.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900 fr., plus la TVA par 69 fr. 30, soit à 969 fr. 30 au total, seront mis à la charge du prévenu, qui succombe (art. 428 al. 1 CPP). Le remboursement à l’Etat de l’indemnité allouée au défenseur d’office du prévenu ne sera toutefois exigible que pour autant que la situation écono­mique de ce dernier le permette (art. 135 al. 4 CPP). Par ces motifs, la Chambre des recours pénale prononce : I. Le recours est admis. II. L’ordonnance du 22 janvier 2019 est réformée en ce sens que la détention pour des motifs de sûreté de A.R.________ est ordonnée jusqu’au 5 juin 2019 au plus tard. III. L’indemnité allouée au défenseur d’office de A.R.________ est fixée à 969 fr. 30 (neuf cent soixante-neuf francs et trente centimes). IV. Les frais d’arrêt, par 1’210 fr. (mille deux cent dix francs), ainsi que l’indemnité due au défenseur d’office de A.R.________, par 969 fr. 30 (neuf cent soixante-neuf francs et trente centimes), sont mis à la charge de ce dernier. V. Le remboursement à l'Etat de l'indemnité allouée au chiffre III ci-dessus ne sera exigible que pour autant que la situation économique de A.R.________ le permette. VI. L’arrêt est exécutoire. Le président :               La greffière : Du Le présent arrêt, dont la rédaction a été approuvée à huis clos, est notifié, par l'envoi d'une copie complète, à : - Me Kathleen Hack, avocate (pour A.R.________), - Ministère public central, et communiqué à : ‑ Mme la Présidente du Tribunal des mesures de contrainte, - Mme la Procureure de l’arrondissement de Lausanne, - Tribunal criminel de l’arrondissement de l’Est vaudois, - Prison de la Croisée,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