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212 vom 13. März 2019</w:t>
      </w:r>
    </w:p>
    <w:p>
      <w:r>
        <w:t>VD Tribunal cantonal, 2019-03-13, FR</w:t>
      </w:r>
    </w:p>
    <w:p>
      <w:r>
        <w:rPr>
          <w:b/>
        </w:rPr>
        <w:t xml:space="preserve">Quelle: </w:t>
      </w:r>
      <w:r>
        <w:t>https://mcp.opencaselaw.ch/entscheid/vd_findinfo_D_cision___2019___212</w:t>
      </w:r>
    </w:p>
    <w:p>
      <w:r>
        <w:t>FR: VD_FINDINFO Décision / 2019 / 212 du 13 mars 2019</w:t>
      </w:r>
    </w:p>
    <w:p>
      <w:r>
        <w:t>IT: VD_FINDINFO Décision / 2019 / 212 del 13 marzo 2019</w:t>
      </w:r>
    </w:p>
    <w:p>
      <w:pPr>
        <w:pStyle w:val="Heading2"/>
      </w:pPr>
      <w:r>
        <w:t>Regeste</w:t>
      </w:r>
    </w:p>
    <w:p>
      <w:r>
        <w:t>MESURE DE SUBSTITUTION À LA DÉTENTION, DÉTENTION PROVISOIRE, SOUPÇON, RISQUE DE RÉCIDIVE |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A.L.________ est recevable.</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doit ainsi exister des charges suffisantes à l’égard de l’intéressé, soit de sérieux soupçons de culpabilité,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Jugendstrafprozessordnung, 2 e éd., Bâle 2014, n. 3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 ATF 137 IV 122 consid. 3.2 ; TF 1B_372/2017 du 26 septembre 2017 consid. 2.1 ; Schmocker, op. cit., n. 8 ad art. 221 CPP). En d’autres termes, les soupçons doivent se renforcer plus l’instruction avance et plus l’issue du jugement au fond approche (TF 1B_344/2017 du 20 septembre 2017 consid. 4.1 et la réf.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 TF 1B_157/2018 du 26 avril 2018 consid. 3.1 et la réf. citée).</w:t>
      </w:r>
    </w:p>
    <w:p>
      <w:r>
        <w:rPr>
          <w:b/>
        </w:rPr>
        <w:t>E. 3.2</w:t>
      </w:r>
    </w:p>
    <w:p>
      <w:r>
        <w:t>En l'espèce, s'agissant des soupçons sérieux pesant sur A.L.________, le Tribunal des mesures de contrainte a déclaré se référer intégralement aux considérants de ses précédentes ordonnances sur ce point, lesquels gardaient toute leur pertinence, mais surtout à l'examen approfondi effectué par la Cour de céans dans son arrêt du 7 février 2019, et a considéré que l'exigence de forts soupçons de culpabilité requise par l'art. 221 al. 1 CPP perdurait. Le recourant se borne sur ce point à se référer aux arguments développés dans son précédent recours. Or ceux-ci ont déjà été examinés de manière détaillée par la Cour de céans dans son arrêt du 7 février 2019 (consid. 3.3), auquel il peut être ici renvoyé en l’absence de tout élément nouveau. En effet, on ne voit pas, contrairement à ce que soutient le recourant, que l’intensité des charges pesant sur celui-ci se soit « un peu plus amenuisée au terme de l’audition de la plaignante du 11 février 2019 » (PV aud. 11). L’ordonnance attaquée échappe ainsi à la critique en tant qu’elle retient qu’il existe toujours de forts soupçons de culpabilité justifiant la détention provisoire.</w:t>
      </w:r>
    </w:p>
    <w:p>
      <w:r>
        <w:rPr>
          <w:b/>
        </w:rPr>
        <w:t>E. 4</w:t>
      </w:r>
    </w:p>
    <w:p>
      <w:r>
        <w:t>Le recourant conteste l’existence d’un risque de réitération.</w:t>
      </w:r>
    </w:p>
    <w:p>
      <w:r>
        <w:rPr>
          <w:b/>
        </w:rPr>
        <w:t>E. 4.1</w:t>
      </w:r>
    </w:p>
    <w:p>
      <w:r>
        <w:t>Selon l'art. 221 al. 1 let. c CPP, la détention provisoire peut être ordonnée lorsqu'il y a sérieusement lieu de craindre que le prévenu compromette sérieusement la sécurité d'autrui par des crimes ou des délits graves après avoir déjà commis des infractions du même genre.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1B_206/2018 du 23 mai 2018 consid. 3.1.2). Un risque de réitération peut se fonder sur les infractions faisant l'objet de la procédure pénale en cours, si le prévenu est fortement soupçonné – avec une probabilité confinant à la certitude – de les avoir commises (ATF 143 IV 9 consid. 2.3.1 ; ATF 137 IV 84 consid. 3.2, JdT 2011 IV 325). La gravité de l'infraction dépend, outre de la peine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 TF 1B_238/2012 du 16 mai 2012 consid. 2.4.2).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 TF 1B_206/2018 du 23 mai 2018 consid. 3.1).</w:t>
      </w:r>
    </w:p>
    <w:p>
      <w:r>
        <w:rPr>
          <w:b/>
        </w:rPr>
        <w:t>E. 4.2</w:t>
      </w:r>
    </w:p>
    <w:p>
      <w:r>
        <w:t>Le Tribunal des mesures de contrainte a considéré que rien de nouveau au dossier ne permettait de relativiser le risque de réitération qu’il avait déjà retenu dans ses précédentes ordonnances, auxquelles il a déclaré se référer intégralement. Vu les faits reprochés au prévenu et les indices suffisants laissant penser qu'il minimisait son comportement délictueux, il y avait lieu de faire preuve de la plus grande prudence. En l'état, l'intérêt public, respectivement de la victime, primait sur l'intérêt privé du prévenu à être libéré, et le risque de réitération, qui était bel et bien concret nonobstant les allégations de la défense sur ce point, justifiait la détention provisoire. Dans son ordonnance du 21 décembre 2018 par laquelle il avait ordonné la détention provisoire initiale du recourant, le Tribunal des mesures de contrainte avait relevé que si le casier du prévenu était certes exempt de toute inscription, une précédente procédure ouverte en 2016 contre lui ensuite de violences conjugales dénoncées par son épouse avait été classée du fait que la victime, qui semblait avoir peur de son mari, n’avait jamais osé révoquer l’accord convenu lors de l’audience de confrontation. Or le prévenu était désormais soupçonné d’avoir commis à l’encontre de son épouse des infractions d’une extrême gravité, par leur nature même mais également par leur durée, leur fréquence et leur intensité, et aurait désormais de surcroît menacé de s’en prendre à leurs enfants, de sorte que le risque de réitération respectivement de passage à l’acte était patent. Cette appréciation échappe à la critique et les arguments soulevés à son encontre par le recourant tombent à faux. Ainsi, le recourant ne saurait rien tirer en sa faveur du fait que la Cour de céans a dans son précédent arrêt laissé ouverte la question de l’existence d’un risque de réitération au vu du risque de collusion qu’elle avait alors retenu. Le fait que le casier judiciaire du recourant ne comporte pas d’inscription n’empêche pas de retenir un risque de réitération, vu la gravité des actes redoutés et le fait que sont en jeu des intérêts juridiques particulièrement élevés, soit la liberté, l’intégrité corporelle voire la vie. Dans de telles circonstances, le risque de réitération peut se fonder sur les infractions faisant l'objet de la procédure pénale en cours, dès lors que, contrairement à ce qu’il prétend, le recourant est fortement soupçonné de les avoir commises. On relèvera par ailleurs qu’avoir fait l’objet d’une première procédure pénale pour violences domestiques, quand bien même classée, ne semble avoir eu aucun effet sur son comportement à l’égard de son épouse. Enfin, le seul élément nouveau invoqué par le recourant, qui rendrait selon lui « obsolète » toute appréciation antérieure, réside dans le fait que depuis lors, des mesures protectrices de l’union conjugale ont été prononcées sur la base d’une convention conclue entre la plaignante et l’avocate du prévenu – lequel n’a pas pu assister à l’audience dès lors qu’il était en détention provisoire et que le service des transferts était dans l’impossibilité de l’amener ce jour-là –, qui a été ratifiée et prévoit notamment une interdiction de périmètre et de contact. Toutefois, contrairement à ce que soutient le recourant, ces mesures civiles sont loin de « rendre abstrait le risque de réitération », compte tenu du caractère du recourant, tel qu’il ressort du dossier.</w:t>
      </w:r>
    </w:p>
    <w:p>
      <w:r>
        <w:rPr>
          <w:b/>
        </w:rPr>
        <w:t>E. 4.3</w:t>
      </w:r>
    </w:p>
    <w:p>
      <w:r>
        <w:t>Il s’ensuit que l’ordonnance attaquée doit être confirmée en tant qu’elle retient l’existence d’un risque de réitération. Comme la réalisation d’un seul des risques énumérés à l’art. 221 al. 1 CPP suffit pour justifier la détention provisoire (TF 1B_242/2016 du 21 juillet 2016 consid. 5), il n’est pas nécessaire d’examiner si le risque de collusion que la Cour de céans a confirmé dans son précédent arrêt demeure actuel.</w:t>
      </w:r>
    </w:p>
    <w:p>
      <w:r>
        <w:rPr>
          <w:b/>
        </w:rPr>
        <w:t>E. 5</w:t>
      </w:r>
    </w:p>
    <w:p>
      <w:r>
        <w:t>Le recourant fait enfin grief au Tribunal des mesures de contrainte de ne pas avoir ordonné des mesures de substitution en lieu et place de la détention provisoire.</w:t>
      </w:r>
    </w:p>
    <w:p>
      <w:r>
        <w:rPr>
          <w:b/>
        </w:rPr>
        <w:t>E. 5.1</w:t>
      </w:r>
    </w:p>
    <w:p>
      <w:r>
        <w:t>Conformément au principe de la proportionnalité (cf. art. 36 al. 3 Cst. [Constitution fédérale de la Confédération suisse du 18 avril 1999, RS 101] ; pour la procédure pénale, cf. art. 197 al. 1 let. c CPP), il convient d'examiner les possibilités de mettre en œuvre d'autres solutions moins dommageables que la détention,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5.2</w:t>
      </w:r>
    </w:p>
    <w:p>
      <w:r>
        <w:t>En l’espèce, le fait que la détention constitue une atteinte au droit du recourant d’entretenir des relations personnelles avec ses enfants, l’ordonnance de mesures protectrices de l’union conjugale lui octroyant un droit de visite à compter de sa libération, de même que le fait que cette détention mette en danger la poursuite de l’activité de la société [...] Sàrl et donc la seule source de revenu de la famille, n’est pas déterminant, dans la mesure où des mesures de substitution ne peuvent être ordonnées que si elles permettent d'atteindre le même but que la détention, soit si elles permettent d'empêcher la concrétisation du risque redouté. Or en l’espèce, il n’apparaît pas que les mesures proposées par le recourant soient propres à pallier efficacement le risque de réitération redouté. En effet, les mesures d’éloignement ordonnées sur le plan civil n’apparaissent pas suffisantes et leur pendant pénal sous forme d’une interdiction de périmètre et de contact ne le serait pas davantage. Quant à la caution de 15'000 fr. que le recourant propose de régler au moyen de ses propres deniers par le biais du chiffre d’affaires tiré de l’exploitation de la société [...] Sàrl, qui serait selon lui de nature à prévenir le risque de réitération à l’instar du cautionnement préventif (art. 66 CP), elle n’apparaît pas non plus comme une garantie suffisante vu la nature et la gravité des actes redoutés, qui commandent de faire preuve de prudence.</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(art. 422 al. 1 CPP), par 1'320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25 février 2019 est confirmée. III. Les frais d’arrêt, par 1’320 fr. (mille trois cent vingt francs), sont mis à la charge du recourant. IV. L’arrêt est exécutoire. Le président :               La greffière : Du Le présent arrêt, dont la rédaction a été approuvée à huis clos, est notifié, par l'envoi d'une copie complète, à : - Me Loïc Parein, avocat (pour A.L.________), - Ministère public central, et communiqué à : - Mme la Présidente du Tribunal des mesures de contrainte, - Mme la Procureure de l’arrondissement de l’Est vaudois, - Me Yan Schumacher, avocat (pour B.L.________),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