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201 vom 7. März 2019</w:t>
      </w:r>
    </w:p>
    <w:p>
      <w:r>
        <w:t>VD Tribunal cantonal, 2019-03-07, FR</w:t>
      </w:r>
    </w:p>
    <w:p>
      <w:r>
        <w:rPr>
          <w:b/>
        </w:rPr>
        <w:t xml:space="preserve">Quelle: </w:t>
      </w:r>
      <w:r>
        <w:t>https://mcp.opencaselaw.ch/entscheid/vd_findinfo_D_cision___2019___201</w:t>
      </w:r>
    </w:p>
    <w:p>
      <w:r>
        <w:t>FR: VD_FINDINFO Décision / 2019 / 201 du 7 mars 2019</w:t>
      </w:r>
    </w:p>
    <w:p>
      <w:r>
        <w:t>IT: VD_FINDINFO Décision / 2019 / 201 del 7 marzo 2019</w:t>
      </w:r>
    </w:p>
    <w:p>
      <w:pPr>
        <w:pStyle w:val="Heading2"/>
      </w:pPr>
      <w:r>
        <w:t>Regeste</w:t>
      </w:r>
    </w:p>
    <w:p>
      <w:r>
        <w:t>DÉTENTION PROVISOIRE, RISQUE DE RÉCIDIVE, PROPORTIONNALITÉ, PRINCIPE DE LA CÉLÉRITÉ, MESURE DE SUBSTITUTION À LA DÉTENTION | 221 al. 1 let. c CPP (CH), 221 CPP (CH)</w:t>
      </w:r>
    </w:p>
    <w:p>
      <w:pPr>
        <w:pStyle w:val="Heading2"/>
      </w:pPr>
      <w:r>
        <w:t>Erwägungen</w:t>
      </w:r>
    </w:p>
    <w:p>
      <w:r>
        <w:rPr>
          <w:b/>
        </w:rPr>
        <w:t>E. 1</w:t>
      </w:r>
    </w:p>
    <w:p>
      <w:r>
        <w:t>Interjeté devant l’autorité compétente, en temps utile et dans les formes prescrites (cf. art. 384 let. b et 385 al. 1 CPP) par une détenue qui a qualité pour recourir (art. 382 CPP), le recours de N.________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La recourante conteste l’existence de soupçons suffisants de culpabilité à son égard. Elle soutient que sa version des faits serait tout autant corroborée que celle de J.________ et que les déclarations des enfants V.________ et X.________ ne sauraient être exploitées en raison de leur jeune âge.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r>
        <w:rPr>
          <w:b/>
        </w:rPr>
        <w:t>E. 3.3</w:t>
      </w:r>
    </w:p>
    <w:p>
      <w:r>
        <w:t>En l’espèce, la Cour de céans a minutieusement examiné cette question dans ses arrêts des 7 septembre et 29 novembre 2018 et s’y réfère. Elle a en particulier constaté qu’il existait des indices suffisamment sérieux de culpabilité à l’encontre de la prévenue sur la base notamment des déclarations cohérentes et crédibles de J.________, des déclarations des fonctionnaires de police intervenus au domicile de la recourante ainsi que celles des enfants jumeaux de la recourante, qui tous corroborent les déclarations de J.________, et du constat sur la porte de la chambre à coucher de plusieurs trous, apparemment faits avec un objet pointu. Depuis lors, aucun nouvel élément de l’enquête n’est venu infirmer ces soupçons. Enfin, comme déjà expliqué par la Cour de céans dans ses arrêts des 7 septembre (consid. 2.3) et 29 novembre 2018 (consid. 2.1.3), la recourante ne saurait se prévaloir d’une prétendue violation de l’art. 154 al. 4 CPP. Ainsi, il existe une présomption suffisamment sérieuse de culpabilité à l’encontre de la recourante.</w:t>
      </w:r>
    </w:p>
    <w:p>
      <w:r>
        <w:rPr>
          <w:b/>
        </w:rPr>
        <w:t>E. 4.1</w:t>
      </w:r>
    </w:p>
    <w:p>
      <w:r>
        <w:t>La recourante conteste le risque de réitération retenu par le Tribunal des mesures de contrainte. Elle soutient que la mise en œuvre de l’expertise envisagée en automne 2017 serait beaucoup trop longue, le mandat ayant été conféré à l’expert le 21 décembre 2018 seulement. En outre, les faits se seraient déroulés dans un contexte très précis, soit dans le cadre de sa relation avec son compagnon et ses relations parentales avec l’enfant Q.________, de sorte qu’une récidive pourrait être exclue en dehors de ce contexte, d’autant plus qu’elle pourrait bénéficier, en cas de mise en liberté, d’un logement à Genève et d’un encadrement par ses proches.</w:t>
      </w:r>
    </w:p>
    <w:p>
      <w:r>
        <w:rPr>
          <w:b/>
        </w:rPr>
        <w:t>E. 4.2</w:t>
      </w:r>
    </w:p>
    <w:p>
      <w:r>
        <w:t>En vertu de l'art. 221 al. 1 let. c CPP, la détention provisoire peut être ordonnée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w:t>
      </w:r>
    </w:p>
    <w:p>
      <w:r>
        <w:rPr>
          <w:b/>
        </w:rPr>
        <w:t>E. 4.3</w:t>
      </w:r>
    </w:p>
    <w:p>
      <w:r>
        <w:t>En l’espèce, la Cour de céans se réfère dans leur intégralité aux considérants qu'elle a développés dans ses arrêts des 7 septembre et 29 novembre 2018, qui conservent leur pertinence en l’absence de tout élément nouveau. La Cour de céans relèvera ainsi que le Dr G.________ a expliqué, dans son rapport du 1 er novembre 2018, que l’état psychique de la recourante n’avait pas évolué favorablement depuis le début du traitement et que le type de pathologie lourde que la recourante présentait se traduisait par une banalisation de sa consommation d’alcool et de la dangerosité de ses actes, ainsi que par la projection sur J.________ de la responsabilité des actes délictueux qu’elle avait commis. Ce rapport et la répétitivité des faits reprochés à la recourante permettaient ainsi de prévoir que, si celle-ci était remise en liberté, elle en viendrait tôt ou tard à s’alcooliser à nouveau et que le risque existerait alors qu’elle cherche à entrer en contact avec J.________ pour lui demander des comptes et qu’elle finisse par le blesser à coups de couteau. Ce risque était peut-être modéré dans sa probabilité, mais, compte tenu de la gravité des conséquences possibles de sa réalisation, justifiait la prolongation de la détention provisoire jusqu’à ce que l’expert mandaté dans la présente cause dépose son rapport. Enfin, la question du mandat d’expertise délivré par le Ministère public sera examinée ci-dessous dans le cadre de la violation du principe de célérité soulevé par la recourante (cf. consid. 6 infra ). Le risque de récidive est manifestement réalisé et justifie le maintien de la recourante en détention provisoire.</w:t>
      </w:r>
    </w:p>
    <w:p>
      <w:r>
        <w:rPr>
          <w:b/>
        </w:rPr>
        <w:t>E. 4.4</w:t>
      </w:r>
    </w:p>
    <w:p>
      <w:r>
        <w:t>La recourante soutient que le risque de récidive pourrait être pallié par des mesures de substitution.</w:t>
      </w:r>
    </w:p>
    <w:p>
      <w:r>
        <w:rPr>
          <w:b/>
        </w:rPr>
        <w:t>E. 4.4.1</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4.4.2</w:t>
      </w:r>
    </w:p>
    <w:p>
      <w:r>
        <w:t>En l’espèce, aucune mesure de substitution n’est à même de prévenir le risque retenu. En particulier, l’interdiction de périmètre au domicile de la recourante sis à [...] et l’interdiction de s’approcher de J.________ tant à son domicile qu’à son lieu de travail au moyen d’un appareil électronique ne sont pas de nature à empêcher la recourante de contacter son concubin et de provoquer une nouvelle altercation. Il en va de même de la soumission à une thérapie garantissant l’abstinence de consommation d’alcool. En effet, la Cour de céans a déjà relevé dans son arrêt du 29 novembre 2018 (consid. 2.3.3) que la recourante avait mis fin, sans y être autorisée, au traitement ordonné par le Tribunal de police du canton de Genève après cinq mois seulement et que de précédentes mesures de substitution assortissant une libération provisoire dans cette même affaire n’avaient pas été respectées. Les mesures proposées sont donc insuffisantes pour parer au risque de réitération au vu des intérêts juridiques à protéger, soit un risque pour la vie et l’intégrité des personnes. Partant, c’est à juste titre que le Tribunal des mesures de contrainte a persisté dans son refus de mettre en œuvre les mesures de substitution sollicitées.</w:t>
      </w:r>
    </w:p>
    <w:p>
      <w:r>
        <w:rPr>
          <w:b/>
        </w:rPr>
        <w:t>E. 5.1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 ATF 133 I 168 consid. 4.1 ; ATF 132 I 21 consid. 4.1). Toutefois, le fait que la peine encourue puisse être assortie du sursis, total ou partiel, n'est pas déterminant sous l'angle de la proportionnalité (ATF 133 I 270 consid. 3.4.2).</w:t>
      </w:r>
    </w:p>
    <w:p>
      <w:r>
        <w:rPr>
          <w:b/>
        </w:rPr>
        <w:t>E. 5.2</w:t>
      </w:r>
    </w:p>
    <w:p>
      <w:r>
        <w:t>Au vu de la gravité des faits reprochés à la recourante, celle-ci s’expose concrètement à une peine privative de liberté plus importante que la période de détention provisoire qu’elle aura subie jusqu’au 21 mai 2019. Partant, le principe de la proportionnalité est respecté (art. 212 al. 3 CPP).</w:t>
      </w:r>
    </w:p>
    <w:p>
      <w:r>
        <w:rPr>
          <w:b/>
        </w:rPr>
        <w:t>E. 6.1</w:t>
      </w:r>
    </w:p>
    <w:p>
      <w:r>
        <w:t>La recourante invoque également une violation du principe de célérité. Elle estime que le Ministère public aurait tardé à ordonner une expertise psychiatrique afin de la maintenir plus longtemps en détention.</w:t>
      </w:r>
    </w:p>
    <w:p>
      <w:r>
        <w:rPr>
          <w:b/>
        </w:rPr>
        <w:t>E. 6.2</w:t>
      </w:r>
    </w:p>
    <w:p>
      <w:r>
        <w:t>Concrétisant le principe de la célérité consacré à l'art. 29 al. 1 Cst. (Constitution fédérale de la Confédération suisse du 18 avril 1999 ; RS 101),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 TF 1B_18/2017 du 3 février 2017 consid. 6).</w:t>
      </w:r>
    </w:p>
    <w:p>
      <w:r>
        <w:rPr>
          <w:b/>
        </w:rPr>
        <w:t>E. 6.3</w:t>
      </w:r>
    </w:p>
    <w:p>
      <w:r>
        <w:t>En l’espèce, contrairement à ce que soutient la recourante, le rapport d’expertise attendu n’est pas déterminant pour justifier le maintien en détention provisoire sous l’angle du risque de récidive, les troubles psychiques et les comportements de violence de la recourante ressortant de plusieurs avis médicaux au dossier (cf. notamment le rapport d’expertise psychiatrique du CURML du 23 mars 2016 et le rapport du Dr G.________ du 1 er novembre 2018). Du reste, on ne discerne aucun retard excessif permettant de conclure à un dysfonctionnement procédural. Au contraire, l’expertise psychiatrique a été mise en œuvre par le Ministère public peu de temps après la notification de l’arrêt de l’autorité de céans du 29 novembre 2018. Enfin, selon les indications fournies par le Ministère public, les experts rendront visite à la prévenue en vue de l’établissement de leur rapport pour la dernière fois le 16 avril 2019, soit dans un mois environ. Partant, il n’existe aucune violation du principe de célérité.</w:t>
      </w:r>
    </w:p>
    <w:p>
      <w:r>
        <w:rPr>
          <w:b/>
        </w:rPr>
        <w:t>E. 7.1</w:t>
      </w:r>
    </w:p>
    <w:p>
      <w:r>
        <w:t>La recourante reproche au Tribunal des mesures de contrainte une violation du droit d’être entendu en refusant d’auditionner l’expert H.________ au motif qu’il ne pouvait à l’évidence pas répondre aux questions qui auraient pu lui être posées.</w:t>
      </w:r>
    </w:p>
    <w:p>
      <w:r>
        <w:rPr>
          <w:b/>
        </w:rPr>
        <w:t>E. 7.2</w:t>
      </w:r>
    </w:p>
    <w:p>
      <w:r>
        <w:t>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6B_787/2018 du 1 er octobre 2018 consid. 1.1 ; TF 6B_583/2018 du 24 août 2018 consid. 1.1 ; TF 6B_628/2018 du 16 août 2018 consid. 2.1). Le refus d'instruire ne viole ainsi le droit d'être entendu des parties que si l'appréciation anticipée de la pertinence du moyen de preuve offert, à laquelle le juge a procédé, est entachée d'arbitraire (ATF 141 I 60 consid. 3.3 ; ATF 136 I 229 consid. 5.3).</w:t>
      </w:r>
    </w:p>
    <w:p>
      <w:r>
        <w:rPr>
          <w:b/>
        </w:rPr>
        <w:t>E. 7.3</w:t>
      </w:r>
    </w:p>
    <w:p>
      <w:r>
        <w:t>En l’espèce, comme on l’a relevé ci-dessus (cf. consid. 6.3 supra ), l’expert mandaté par le Ministère public n’a pas terminé son travail d’investigation puisqu’il doit encore rencontrer la recourante à la fin du mois d’avril. L’expert ne pouvait présenter ainsi ses conclusions à ce stade déjà. Par ailleurs, comme on l’a vu précédemment (cf. consid. 6.3 supra ), la Cour de céans a relevé dans son arrêt du 29 novembre 2018 (cf. consid. 2.2.3) que le risque de récidive était clairement réalisé sur la base d’autres éléments au dossier, en particulier sur la base du rapport du Dr G.________ du 1 er novembre 2018. L’appréciation anticipée de ce moyen de preuve apparaît dès lors parfaitement fondée.</w:t>
      </w:r>
    </w:p>
    <w:p>
      <w:r>
        <w:rPr>
          <w:b/>
        </w:rPr>
        <w:t>E. 8</w:t>
      </w:r>
    </w:p>
    <w:p>
      <w:r>
        <w:t>En définitive, le recours, manifestement mal fondé, doit être rejeté sans échange d’écritures (art. 390 al. 2 CPP) et l’ordonnance attaquée confirmée. Les frais de la procédure de recours, constitués en l’espèce de l’émolument d'arrêt, par 1’650 fr. (art. 20 al. 1 TFIP [Tarif des frais de procédure et indemnités en matière pénale du 28 septembre 2010 ; BLV 312.03.1]), et des frais imputables à la défense d’office (art. 422 al. 1 et 2 let. a CPP), fixés à 540 fr., plus la TVA par 41 fr. 60, soit à 581 fr. 60 au total, seront mis à la charge de N.________, qui succombe (art. 428 al. 1 CPP). Le remboursement à l’Etat de l’indemnité allouée au défenseur d’office de la recourante ne sera toutefois exigible que pour autant que la situation financière de cette dernière le permette (art. 135 al. 4 CPP). Par ces motifs, la Chambre des recours pénale prononce : I. Le recours est rejeté. II. L’ordonnance du 19 février 2019 est confirmée. III. L’indemnité allouée au défenseur d’office de N.________ est fixée à 581 fr. 60 (cinq cent huitante et un francs et soixante centimes). IV. Les frais d’arrêt, par 1'650 fr. (mille six cent cinquante francs), ainsi que l’indemnité due au défenseur d’office de N.________, par 581 fr. 60 (cinq cent huitante et un francs et soixante centimes), sont mis à la charge de cette dernière. V. Le remboursement à l'Etat de l'indemnité allouée au chiffre III ci-dessus ne sera exigible que pour autant que la situation économique de N.________ le permette. VI. L’arrêt est exécutoire. Le président :               La greffière : Du Le présent arrêt, dont la rédaction a été approuvée à huis clos, est notifié, par l'envoi d'une copie complète, à : - Me Xavier de Haller, avocat (pour N.________), - Ministère public central, et communiqué à : - Mme la Présidente du Tribunal des mesures de contrainte, - Mme la Procureure de l’arrondissement de La Côte, - Me Pascal Junod, avocat (pour J.________),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