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199 vom 6. März 2019</w:t>
      </w:r>
    </w:p>
    <w:p>
      <w:r>
        <w:t>VD Tribunal cantonal, 2019-03-06, FR</w:t>
      </w:r>
    </w:p>
    <w:p>
      <w:r>
        <w:rPr>
          <w:b/>
        </w:rPr>
        <w:t xml:space="preserve">Quelle: </w:t>
      </w:r>
      <w:r>
        <w:t>https://mcp.opencaselaw.ch/entscheid/vd_findinfo_D_cision___2019___199</w:t>
      </w:r>
    </w:p>
    <w:p>
      <w:r>
        <w:t>FR: VD_FINDINFO Décision / 2019 / 199 du 6 mars 2019</w:t>
      </w:r>
    </w:p>
    <w:p>
      <w:r>
        <w:t>IT: VD_FINDINFO Décision / 2019 / 199 del 6 marzo 2019</w:t>
      </w:r>
    </w:p>
    <w:p>
      <w:pPr>
        <w:pStyle w:val="Heading2"/>
      </w:pPr>
      <w:r>
        <w:t>Regeste</w:t>
      </w:r>
    </w:p>
    <w:p>
      <w:r>
        <w:t>CAPACITÉ D'ÊTRE PARTIE, PARTIE À LA PROCÉDURE, PARTIE CIVILE, PLAIGNANT, PERSONNE PROCHE, ADMISSION DE LA DEMANDE | 110 al. 1 CP, 104 CPP (CH), 105 CPP (CH), 115 CPP (CH), 116 al. 2 CPP (CH), 117 CPP (CH), 121 al. 1 CPP (CH)</w:t>
      </w:r>
    </w:p>
    <w:p>
      <w:pPr>
        <w:pStyle w:val="Heading2"/>
      </w:pPr>
      <w:r>
        <w:t>Erwägungen</w:t>
      </w:r>
    </w:p>
    <w:p>
      <w:r>
        <w:rPr>
          <w:b/>
        </w:rPr>
        <w:t>E. 1</w:t>
      </w:r>
    </w:p>
    <w:p>
      <w:r>
        <w:t>Interjeté dans les formes prescrites (art. 385 al. 1 CPP) et dans le délai légal (art. 396 al. 1 CPP), par une personne, dont la qualité de partie plaignante n’a pas été reconnue et qui, partant, a qualité pour recourir (art. 382 al. 1 CPP), contre une ordonnance rendue par le Ministère public (art. 393 al. 1 let. a CPP ; CREP 26 avril 2018/311 ; CREP 16 mars 2015/194 et les références citées), le recours déposé par P.________ est recevable.</w:t>
      </w:r>
    </w:p>
    <w:p>
      <w:r>
        <w:rPr>
          <w:b/>
        </w:rPr>
        <w:t>E. 2.1</w:t>
      </w:r>
    </w:p>
    <w:p>
      <w:r>
        <w:t>La recourante soutient que la relation qu’elle entretenait avec son frère feu W.________ était très étroite, de sorte que, dans ce contexte exceptionnel, elle devrait bénéficier de la qualité de proche de ce dernier. Elle considère que, dans ces circonstances, elle pourrait faire valoir des conclusions civiles propres dans la présente procédure pénale et, partant, se porter, à titre personnel, partie plaignante.</w:t>
      </w:r>
    </w:p>
    <w:p>
      <w:r>
        <w:rPr>
          <w:b/>
        </w:rPr>
        <w:t>E. 2.2.1</w:t>
      </w:r>
    </w:p>
    <w:p>
      <w:r>
        <w:t>L’art. 104 al. 1 let. b CPP dispose que la qualité de partie est reconnue à la partie plaignante. On entend par partie plaignante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En cas d’homicide, les proches ne sont pas eux-mêmes des lésés (Mazzucchelli/Postizzi, in : Niggli/Heer/Wiprächtiger [éd.], Basler Kommentar, Schweizerische Strafprozes-sordnung, art. 1-195 StPO, 2 e éd., Bâle 2014, nn. 48 et 49 ad art. 115 CPP ; Garbarski, Le lésé et la partie plaignante en procédure pénale : état des lieux de la jurisprudence récente, in : SJ 2013 II 123 ss, spéc. let. C., p. 131, et les références citées).</w:t>
      </w:r>
    </w:p>
    <w:p>
      <w:r>
        <w:rPr>
          <w:b/>
        </w:rPr>
        <w:t>E. 2.2.2</w:t>
      </w:r>
    </w:p>
    <w:p>
      <w:r>
        <w:t>Selon l'art. 116 al. 1 CPP, on entend par victime le lésé qui, du fait d'une infraction, a subi une atteinte directe à son intégrité physique, psychique ou sexuelle. Les proches de la victime au sens de l'art. 116 al. 2 CPP sont le conjoint de celle-ci, ses enfants, ses père et mère et les autres personnes ayant avec elle des liens analogues. Cette liste correspond à celle posée à l'art. 1 al. 2 LAVI (Loi fédérale sur l'aide aux victimes d'infractions du 23 mars 2007 ; RS 312.5). Le conjoint, les enfants, le père et la mère ont ainsi la qualité de proches de par la loi, indépendamment de liens affectifs qu'ils entretiennent avec la victime (TF 1B_137/2015 du 1 er septembre 2015 consid. 2.1). Quant aux « autres personnes », elles n'ont pas nécessairement à être apparentées à la victime et ne font pas obligatoirement vie commune avec celle-ci (TF 1B_137/2015 du 1 er septembre 2015 consid. 2.1 et les références citées). Sont alors déterminantes les circonstances concrètes, l'intensité du lien entretenu avec la victime (« Lebensverhältnissen ») et/ou la fréquence des rencontres, éléments que ceux alléguant être des proches au sens de l'art. 116 al. 2 in fine CPP devront rendre vraisemblables afin de démontrer qu'ils ont, avec la victime, des liens analogues aux premières personnes mentionnées dans cette disposition (TF 1B_137/2015 du 1 er septembre 2015 consid. 2.1 et les références citées). Peuvent ainsi généralement être considérés comme des proches de la victime le concubin, le partenaire enregistré, les petits-enfants qui auraient été élevés par leurs grands-parents en raison par exemple du décès de leurs parents, ainsi que, le cas échéant, une relation d'amitié ou fraternelle très étroite (TF 1B_137/2015 du 1 er septembre 2015 consid. 2.1 et les références citées). S'agissant du cas particulier des frères et sœurs, ils comptent parmi les membres de la famille qui peuvent prétendre à une indemnité pour tort moral (ATF 118 II 404 consid. 3b/cc ; TF 1B_137/2015 du 1 er septembre 2015 consid. 2.1). Cependant, ce droit dépend des circonstances et la pratique en la matière est plutôt restrictive (TF 1B_137/2015 du 1 er septembre 2015 consid. 2.1 ; TF 6B_714/2013 du 25 mars 2014 consid. 4.2 les références citées). Le fait de vivre sous le même toit est cependant un indice important de l'intensité de la relation pouvant exister dans une fratrie, ce qui peut ainsi ouvrir le droit à une indemnisation (TF 1B_137/2015 du 1 er septembre 2015 consid. 2.1 et les références citées). Si tel n'est pas le cas au moment du décès du frère ou de la sœur, l'allocation d'une indemnité pour tort moral n'est envisageable qu'en présence de contacts très étroits, seuls susceptibles d'occasionner des souffrances morales exceptionnelles (TF 1B_137/2015 du 1 er septembre 2015 consid. 2.1 et les nombreuses références citées). En d'autres termes, déterminer si une personne est un proche de la victime au sens de l'art. 116 al. 2 in fine CPP s'examine au regard des circonstances d'espèce ; il s'agit d'une question d'appréciation délicate puisque la problématique peut varier au gré d'un cas à l'autre (TF 1B_137/2015 du 1 er septembre 2015 consid. 2.1 et les références citées).</w:t>
      </w:r>
    </w:p>
    <w:p>
      <w:r>
        <w:rPr>
          <w:b/>
        </w:rPr>
        <w:t>E. 2.2.3</w:t>
      </w:r>
    </w:p>
    <w:p>
      <w:r>
        <w:t>L’art. 117 al. 3 CPP prévoit que lorsque les proches de la victime se portent parties civiles contre les prévenus, ils jouissent des mêmes droits que la victime. Selon la jurisprudence, les termes « se portent partie civile » de la version française doivent s'interpréter dans le sens de faire valoir des prétentions civiles, comme en attestent les versions allemande et italienne (« Machen die Angehörigen des Opfers Zivilansprüche geltend » ; « se fanno valere pretese civili ») (ATF 139 IV 89 consid. 2.2).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(TF 6B_160/2014 du 26 août 2014 consid. 3 ; cf. Mazzucchelli/Postizzi, op. cit., n. 11 ad art. 115 CPP et n. 6 et 7 ad art. 117 CPP).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Tant pour le lésé que pour ses proches, l'action civile par adhésion à la procédure pénale n'entre en ligne de compte que pour autant que ceux-ci puissent effectivement faire valoir des prétentions contre le prévenu lui-même. Tel ne sera pas le cas si ces prétentions ont déjà été tranchées civilement (CREP 12 janvier 2016/24), s'il n'existe aucun indice qu'une infraction a été commise (CREP 7 janvier 2014/232) ou si, en vertu du droit public, un agent de l'Etat n'est pas tenu personnellement de répondre du dommage qu'il cause dans l'exercice de ses fonctions (TF 6B_776/2015 du 29 janvier 2016 consid. 2.1).</w:t>
      </w:r>
    </w:p>
    <w:p>
      <w:r>
        <w:rPr>
          <w:b/>
        </w:rPr>
        <w:t>E. 2.3</w:t>
      </w:r>
    </w:p>
    <w:p>
      <w:r>
        <w:t>En l’espèce, dans sa déclaration du 13 décembre 2018, la recourante a exposé en détail le parcours affectif qui la liait à son défunt frère. Elle a indiqué que, lorsqu’elle était âgée de 12 ans, à la suite du départ du père du domicile familial, elle avait dû mettre un terme prématuré à sa scolarité pour prendre soin de ses frères et sœurs, afin de permettre à leur mère de travailler pour subvenir aux besoins de la famille. Elle a expliqué qu’ensuite, son frère W.________, lorsqu’il était âgé de 16 ans, était venu vivre dans son propre foyer pour qu’il puisse faire sa formation de boucher. Selon P.________, elle et son frère avaient ainsi noué des liens particuliers, si bien que l’un de ses enfants était le filleul du défunt et portait le prénom de celui-ci et que W.________ l’avait conduite à la mairie le jour de son mariage. La recourante a ajouté que, lorsque l’épouse du prénommé avait quitté le domicile conjugal, celui-ci s’était réfugié chez elle afin de surmonter cette situation difficile. W.________ avait ensuite suivi sa sœur, en 2006, pour s’installer dans le même logement qu’elle et, l’année suivante, il avait fait l’acquisition d’un autre logement à 500 mètres de cette dernière. Quand bien même la situation évoquée par la recourante n’a pas été instruite par le Ministère public, il y a lieu de considérer que les allégations de celle-ci sont à ce stade vraisemblables. D’une part, vu le contexte particulier, on imagine mal la sœur du défunt mentir dans de telles circonstances. D’autre part, la lettre annexée à sa déclaration du 13 décembre 2018 apparaît spontanée et crédible (P. 54/1) et ses explications sont confirmées par un autre frère et une ex-compagne de W.________ (P. 54/2 et P. 54/3). En outre, la mise en œuvre d’investigations en France sur ce point se révélerait disproportionnée. En l’occurrence, le récit de la recourante permet indubitablement de conclure à l’existence de contacts très étroits entre elle et son frère défunt allant bien au-delà des relations fraternelles ordinaires. Les intéressés ne vivaient certes pas sous le même toit lors du décès de W.________. Cependant, ils ont vécu sous le même toit à plusieurs reprises au cours de leur vie et se sont soutenus mutuellement lors de différentes étapes de celle-ci. Ainsi, la mort de W.________ est, dans le cas d’espèce, manifestement susceptible d’occasionner des souffrances morales exceptionnelles au sens de la jurisprudence à P.________. Dans ces circonstances, cette dernière peut prétendre à une réparation morale propre dans le cadre de la présente procédure et, par conséquent, se porter partie plaignante, demanderesse au civil et au pénal. Dans ses déterminations, le Ministère public soutient que la recourante ne s’exprimerait pas sur la nature des conclusions civiles qu’elle entend invoquer. Cependant, au vu de ce qui précède, il est évident que P.________ entend prendre des prétentions en réparation morale fondées sur l’intensité particulière de sa relation avec W.________. Par ailleurs, le Ministère public ne saurait, à ce stade, affirmer péremptoirement que la procédure n’est ouverte contre aucun prévenu déterminé. Quoi qu’il en dise, la procédure n’est pas arrivée à son terme et il lui appartient d’instruire sérieusement la question des responsabilités en cause. En l’état, la responsabilité de l’employeur du défunt, en particulier des personnes chargées de donner des prescriptions de sécurité aux employés, ne saurait être exclue.</w:t>
      </w:r>
    </w:p>
    <w:p>
      <w:r>
        <w:rPr>
          <w:b/>
        </w:rPr>
        <w:t>E. 3</w:t>
      </w:r>
    </w:p>
    <w:p>
      <w:r>
        <w:t>En définitive, le recours doit être admis et l’ordonnance attaquée réformée dans le sens des considérants qui précèdent. Les frais de la procédure de recours, constitués en l'espèce du seul émolument d'arrêt (art. 422 al. 1 CPP), par 990 fr. (art. 20 al. 1 TFIP [Tarif des frais de procédure et indemnités en matière pénale du 28 septembre 2010 ; BLV 312.03.1]), seront laissés à la charge de l’Etat (art. 428 al. 4 CPP). Quand bien même la recourante a pris ses conclusions avec suite de dépens, il ne peut lui être alloué d’indemnité au sens de l’art. 433 CPP, faute de prévenu succombant à ce stade de la procédure (CREP 11 décembre 2018/967). Par ces motifs, la Chambre des recours pénale prononce : I. Le recours est admis. II. L’ordonnance du 25 janvier 2019 est réformée en ce sens que la qualité de partie plaignante, demanderesse au civil et au pénal, est reconnue à P.________ ; l’ordonnance est confirmée pour le surplus. III. Les frais d’arrêt, par 990 fr. (neuf cent nonante francs), sont laissés à la charge de l’Etat. IV. L’arrêt est exécutoire. Le président :               Le greffier : Du Le présent arrêt, dont la rédaction a été approuvée à huis clos, est notifié, par l'envoi d'une copie complète, à : - Me Véronique Fontana, avocate (pour P.________),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