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196 vom 6. März 2019</w:t>
      </w:r>
    </w:p>
    <w:p>
      <w:r>
        <w:t>VD Tribunal cantonal, 2019-03-06, FR</w:t>
      </w:r>
    </w:p>
    <w:p>
      <w:r>
        <w:rPr>
          <w:b/>
        </w:rPr>
        <w:t xml:space="preserve">Quelle: </w:t>
      </w:r>
      <w:r>
        <w:t>https://mcp.opencaselaw.ch/entscheid/vd_findinfo_D_cision___2019___196</w:t>
      </w:r>
    </w:p>
    <w:p>
      <w:r>
        <w:t>FR: VD_FINDINFO Décision / 2019 / 196 du 6 mars 2019</w:t>
      </w:r>
    </w:p>
    <w:p>
      <w:r>
        <w:t>IT: VD_FINDINFO Décision / 2019 / 196 del 6 marzo 2019</w:t>
      </w:r>
    </w:p>
    <w:p>
      <w:pPr>
        <w:pStyle w:val="Heading2"/>
      </w:pPr>
      <w:r>
        <w:t>Regeste</w:t>
      </w:r>
    </w:p>
    <w:p>
      <w:r>
        <w:t>DÉTENTION PROVISOIRE, PROLONGATION, RISQUE DE FUITE, PROPORTIONNALITÉ, SOUPÇON | 212 al. 3 CPP (CH), 221 al. 1 let. a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une détenue qui a qualité pour recourir (art. 222 et 382 al. 1 CPP) et dans les formes prescrites (art. 385 al. 1 CPP), le recours d’E.B.________ est recevable.</w:t>
      </w:r>
    </w:p>
    <w:p>
      <w:r>
        <w:rPr>
          <w:b/>
        </w:rPr>
        <w:t>E. 2.1</w:t>
      </w:r>
    </w:p>
    <w:p>
      <w:r>
        <w:t>La recourante conteste d’abord qu’il existerait à ce stade des soupçons de culpabilité suffisants pour justifier son maintien en détention provisoire. Elle réfute fermement les affirmations du Ministère public selon lesquelles elle aurait vendu des stupéfiants et conservé une partie de l’argent issu du trafic, qui ne reposent selon elle sur aucun élément du dossier. Elle soutient qu’elle aurait uniquement toléré l’entreposage de marchandise chez elle, accepté que son ex-époux vienne dans son appartement et procédé, à quelques reprises seulement, au change de sommes d’argent, ce qui ne lui donnerait qu’un rôle accessoire dans le trafic de stupéfiants, principalement orchestré par F.B.________ et ses deux fils A.B.________ et G.B.________. Ce rôle secondaire serait d’ailleurs confirmé par les intéressés. Le fait qu’elle n’ait plus été auditionnée depuis le 16 juillet 2018 confirmerait également qu’elle n’a pas joué un rôle actif. En outre, la recourante affirme que ses agissements auraient été dictés par la contrainte, puisqu’elle aurait subi des pressions, menaces et violences de son ex-mari F.B.________, ce qui est attesté par les membres de sa famille.</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2.3</w:t>
      </w:r>
    </w:p>
    <w:p>
      <w:r>
        <w:t>En l’espèce, force est de constater qu’en l’état, il n’est pas possible de déterminer l’étendue précise du rôle que la recourante a joué au sein du trafic de stupéfiants opéré par la famille. Il est en particulier délicat d’établir si E.B.________ a majoritairement agi sous l’emprise de son ex-époux ou si elle a au contraire tenu le rôle central et actif que lui attribue le Ministère public en toute connaissance de cause et en n’hésitant pas à se montrer manipulatrice. Cette incertitude découle notamment de l’attitude de la recourante qui, au fil de ses auditions, n’a révélé que peu d’éléments quant à son implication. A cet égard, sa prochaine audition, qui doit se tenir devant la police ce 6 mars 2019, pourrait permettre d’obtenir plus de précisions. Quoi qu’il en soit, il n’appartient pas au juge de la détention de déterminer avec exactitude l’étendue de la culpabilité d’un prévenu. En l’état, on se bornera à rappeler les éléments énumérés par le Tribunal des mesures de contrainte dans son ordonnance du 17 juillet 2018. Le résultat de certaines écoutes téléphoniques effectuées en 2017 a permis d’établir que la recourante était un lien entre les membres de sa famille impliqués et qu’elle tenait vraisemblablement le rôle de « comptable », ce qui peut transparaître lorsqu’elle corrige F.B.________ sur les quantités de drogue reçues, lorsqu’elle félicite son fils A.B.________ pour avoir réalisé une vente de 2 kg ou lorsque F.B.________ demande à son fils G.B.________ de voir avec sa mère à propos de 14 kg de marijuana et d’une somme manquante de 20'000 francs. Le fait que son ADN ait été retrouvé sur les nœuds des parachutes de cocaïne trouvés à son domicile constitue en outre un indice tendant à démontrer qu’elle était active dans le conditionnement de la drogue. Certaines conversations interceptées (PV aud. 18, R. 11 à 17) laissent enfin entendre que la recourante était, malgré ses dénégations, active dans la vente de stupéfiants. Ces éléments sont suffisants pour fonder de sérieux soupçons de culpabilité à l’égard d’E.B.________. Le premier moyen de la recourante doit en conséquence être rejeté.</w:t>
      </w:r>
    </w:p>
    <w:p>
      <w:r>
        <w:rPr>
          <w:b/>
        </w:rPr>
        <w:t>E. 3.1</w:t>
      </w:r>
    </w:p>
    <w:p>
      <w:r>
        <w:t>La recourante conteste l’existence d’un risque de fuite. Elle fait valoir qu’elle vit en Suisse depuis vingt-sept ans et que son permis F, obtenu en 2002, a été renouvelé chaque année. Dès son arrivée, elle aurait appris le français et travaillé en tant que femme de ménage. Elle soutient que toutes ses attaches sont en Suisse, puisque deux de ses trois enfants y sont nés, qu’ils y ont tous trois grandi et sont intégrés. Elle n’aurait conservé que très peu de liens avec son pays d’origine, le [...]. En outre, sa fille I.________ serait disposée à l’héberger à sa sortie de détention, cette dernière expliquant au demeurant avoir besoin de sa mère pour l’aider dans l’éducation de ses enfants et notamment de son fils, qui souffrirait de troubles autistiques. La recourante relève enfin que depuis le dernier arrêt de la Chambre des recours pénale, la situation a évolué en ce sens que son fils cadet G.B.________ a été arrêté, le risque qu’elle cherche à le rejoindre n’existant donc plus, et qu’I.________, D.________ et A.B.________ ont été relaxés malgré leur implication dans le trafic.</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3.3</w:t>
      </w:r>
    </w:p>
    <w:p>
      <w:r>
        <w:t>En l’occurrence et contrairement à ce que soutient la recourante, les considérations émises par la Cour de céans dans son précédent arrêt du 15 août 2018 demeurent globalement valables. Les arguments avancés par le Ministère public et repris par le Tribunal des mesures de contrainte à l’appui de l’existence d’un risque de fuite sont en outre convaincants. En effet, on relèvera que, quand bien même la recourante vit de fait en Suisse depuis 1991, elle n’est toujours qu’au bénéfice d’un livret F, soit d’un permis pour étrangers admis provisoirement, en attente d’un renvoi. Dans ces circonstances, on ne saurait retenir qu’elle bénéficie d’un statut stable dans notre pays. Cette situation sur le plan du droit des étrangers, demeurée la même depuis plus de quinze ans, ne dénote pas non plus d’une intégration particulièrement réussie en Suisse. Si sa famille réside en effet majoritairement sur sol suisse, force est toutefois de constater que tous ses membres, hormis évidemment ses petits-enfants mineurs, sont impliqués dans le trafic de stupéfiants reproché et revêtent la qualité de prévenus dans le cadre de la présente procédure pénale. Aussi peut-on considérer que le principal lien de la famille avec la Suisse n’est autre que le trafic de stupéfiants. Quant aux ressources financières, les revenus licites dont la recourante peut attester sont très modiques, son activité en tant que femme de ménage étant limitée (un seul ménage), et ne suffiraient pas à assurer sa subsistance en Suisse. Elle a vécu majoritairement de l’aide sociale, qu’elle est soupçonnée dans le cadre de la présente enquête d’avoir fraudé en ne déclarant pas l’entier de ses revenus, notamment ceux provenant du trafic de stupéfiants reproché. Un bref examen des rapports établis par la direction de la Prison de la Tuilière (P. 226 et 240) permet par ailleurs rapidement de constater que le comportement de la recourante en détention a été particulièrement déplorable, celle-ci ayant fait l’objet de trois décisions de sanction, dont une pour avoir giflé une coprévenue, montré beaucoup de difficultés à accepter les remarques, reconnaître ses erreurs et se remettre en question, et s’étant positionnée comme une cheffe de clan méprisante et rabaissante à l’égard de ses codétenues, qui s’en sont plaintes et ont émis de multiples appels à l’aide, si bien qu’elle a finalement dû être transférée vers un autre établissement de détention. L’ensemble des éléments qui précèdent, et qui démontrent que les liens de la recourante avec la Suisse, malgré sa présence dans notre pays depuis de nombreuses années, ne peuvent être qualifiés de solides, ne permettent pas de supprimer tout danger de fuite. Le fait que G.B.________ ait désormais été interpellé et placé en détention n’y change rien. Compte tenu au demeurant de la gravité des faits reprochés, la peine à laquelle s’expose la recourante est importante. La menace d’une expulsion pourrait en outre être de nature à pousser celle-ci à disparaître dans la clandestinité afin d’échapper à une telle sanction et à l’éloignement de ses enfants et petits-enfants. Dans ces circonstances, il faut reconnaître, à l’instar du Ministère public et du Tribunal des mesures de contrainte, que le risque de fuite est non seulement possible, mais également probable. La prolongation de la détention provisoire fondée sur ce motif est donc justifiée.</w:t>
      </w:r>
    </w:p>
    <w:p>
      <w:r>
        <w:rPr>
          <w:b/>
        </w:rPr>
        <w:t>E. 3.4</w:t>
      </w:r>
    </w:p>
    <w:p>
      <w:r>
        <w:t>La réalisation d’un seul des risques énumérés à l’art. 221 al. 1 CPP suffit pour justifier la détention provisoire (TF 1B_242/2016 du 21 juillet 2016 consid. 5). Il n’est par conséquent pas nécessaire d’examiner si la prolongation de la détention provisoire s’impose également en raison d’un risque de récidive.</w:t>
      </w:r>
    </w:p>
    <w:p>
      <w:r>
        <w:rPr>
          <w:b/>
        </w:rPr>
        <w:t>E. 4.1</w:t>
      </w:r>
    </w:p>
    <w:p>
      <w:r>
        <w:t>La recourante considère enfin qu’un maintien en détention provisoire serait disproportionné, l’enquête ne la concernant plus depuis de nombreux mois. Pour le surplus, elle déplore que le Tribunal des mesures de contrainte n’ait pas concrètement examiné la possibilité de mettre en œuvre les mesures de substitution proposées.</w:t>
      </w:r>
    </w:p>
    <w:p>
      <w:r>
        <w:rPr>
          <w:b/>
        </w:rPr>
        <w:t>E. 4.2.1</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[Constitution fédérale de la Confédération suisse du 18 avril 1999 ; RS 101]), qui impose d'examiner les possibilités de mettre en œuvre d'autres solutions moins dommageables que la détention (ATF 141 IV 190 consid. 3.1). L'art. 237 al. 2 CPP permet ainsi, entre autres mesures de substitution susceptibles d'entrer ici en considération, la saisie des documents d’identité et autres documents officiels (let. b), l’assignation à résidence ou l’interdiction de se rendre dans un certain lieu ou un certain immeuble (let. c) et l’obligation de se présenter régulièrement à un service administratif (let. d).</w:t>
      </w:r>
    </w:p>
    <w:p>
      <w:r>
        <w:rPr>
          <w:b/>
        </w:rPr>
        <w:t>E. 4.2.2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w:t>
      </w:r>
    </w:p>
    <w:p>
      <w:r>
        <w:rPr>
          <w:b/>
        </w:rPr>
        <w:t>E. 4.3</w:t>
      </w:r>
    </w:p>
    <w:p>
      <w:r>
        <w:t>Dans le cas d’espèce, la recourante est prévenue notamment d’infraction grave à la LStup au sens de l’art. 19 al. 2 LStup, passible à elle seule d’une peine minimale d’un an de privation de liberté, ainsi que d’escroquerie au sens de l’art. 146 al. 1 CP (Code pénal suisse du 21 décembre 1937 ; RS 311.0), passible d’une peine privative de liberté pouvant aller jusqu’à cinq ans. A l’échéance de la prolongation ordonnée, E.B.________ aura passé un an en détention, ce qui ne saurait en tout état de cause être considéré comme une durée excessive et enfreindre le principe de la proportionnalité, vu la peine finale susceptible d’être prononcée à son encontre. Au demeurant, il est évident qu’aucune mesure de substitution n’est suffisante à prévenir le risque de fuite retenu, aucun moyen de contrainte n’étant susceptible de permettre une surveillance constante de la recourante afin d’empêcher une éventuelle disparition et soustraction de cette dernière à la poursuite pénale. En particulier, la pose d’un bracelet électronique, évoquée par E.B.________ dans son recours, ne permet pas de vérifier en direct les déplacements de la personne concernée ni de suivre sa progression, ce qui ne garantit pas une intervention de la police en temps utile (cf. TF 1B_142/2018 du 5 avril 2018 consid. 2.2). Les griefs de la recourante sont là encore infondés et doivent être rejetés.</w:t>
      </w:r>
    </w:p>
    <w:p>
      <w:r>
        <w:rPr>
          <w:b/>
        </w:rPr>
        <w:t>E. 5</w:t>
      </w:r>
    </w:p>
    <w:p>
      <w:r>
        <w:t>En définitive, le recours doit être rejeté et l’ordonnance attaquée confirmée. Les frais de la procédure de recours, constitués en l’espèce de l’émolument d'arrêt, par 1'210 fr. (art. 20 al. 1 TFIP [Tarif des frais judiciaires de procédure et indemnités en matière pénale du 28 septembre 2010 ; BLV 312.03.1]), et des frais imputables à la défense d’office (art. 422 al. 1 et 2 let. a CPP), fixés à 720 fr., plus la TVA par 55 fr. 45, soit à 775 fr. 45 au total, seront mis à la charge de la recourante, qui succombe (art. 428 al. 1, 1 re phrase, CPP).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L’ordonnance du 4 février 2019 est confirmée. III. L’indemnité allouée au défenseur d’office d’E.B.________ est fixée à 775 fr. 45 (sept cent septante-cinq francs et quarante-cinq centimes). IV. Les frais d’arrêt, par 1'210 fr. (mille deux cent dix francs), ainsi que l’indemnité due au défenseur d’office d’E.B.________, par 775 fr. 45 (sept cent septante-cinq francs et quarante-cinq centimes), sont mis à la charge de cette dernière. V. Le remboursement à l’Etat de l’indemnité allouée au chiffre III ci-dessus ne sera exigible que pour autant que la situation financière d’E.B.________ le permette. VI. L’arrêt est exécutoire. Le président : La greffière : Du Le présent arrêt, dont la rédaction a été approuvée à huis clos, est notifié, par l'envoi d'une copie complète, à : - Me Antonella Cereghetti Zwahlen, avocate (pour E.B.________), - Ministère public central, et communiqué à : - Mme la Présidente ad hoc du Tribunal des mesures de contrainte, - M. le Procureur de l’arrondissement de l’Est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